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10A6" w14:textId="77777777" w:rsidR="002E7483" w:rsidRDefault="00000000">
      <w:pPr>
        <w:spacing w:after="40"/>
      </w:pPr>
      <w:r>
        <w:rPr>
          <w:rFonts w:ascii="Calibri" w:hAnsi="Calibri"/>
          <w:b/>
          <w:color w:val="1F3864"/>
          <w:sz w:val="40"/>
        </w:rPr>
        <w:t>Internal GenAI Acceptable Use Policy</w:t>
      </w:r>
    </w:p>
    <w:p w14:paraId="6F8E7396" w14:textId="77777777" w:rsidR="002E7483" w:rsidRDefault="00000000">
      <w:pPr>
        <w:spacing w:after="240"/>
      </w:pPr>
      <w:r>
        <w:rPr>
          <w:rFonts w:ascii="Calibri" w:hAnsi="Calibri"/>
          <w:i/>
          <w:color w:val="595959"/>
          <w:sz w:val="23"/>
        </w:rPr>
        <w:t>Governed Production Systems — Artefact A-21, v2.1</w:t>
      </w:r>
    </w:p>
    <w:tbl>
      <w:tblPr>
        <w:tblW w:w="0" w:type="auto"/>
        <w:jc w:val="center"/>
        <w:tblLook w:val="04A0" w:firstRow="1" w:lastRow="0" w:firstColumn="1" w:lastColumn="0" w:noHBand="0" w:noVBand="1"/>
      </w:tblPr>
      <w:tblGrid>
        <w:gridCol w:w="4968"/>
        <w:gridCol w:w="4968"/>
      </w:tblGrid>
      <w:tr w:rsidR="002E7483" w14:paraId="17AA692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6F5460A" w14:textId="77777777" w:rsidR="002E7483"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A8CD3E9" w14:textId="77777777" w:rsidR="002E7483" w:rsidRDefault="00000000">
            <w:r>
              <w:rPr>
                <w:rFonts w:ascii="Calibri" w:hAnsi="Calibri"/>
                <w:b/>
                <w:color w:val="FFFFFF"/>
                <w:sz w:val="20"/>
              </w:rPr>
              <w:t>Detail</w:t>
            </w:r>
          </w:p>
        </w:tc>
      </w:tr>
      <w:tr w:rsidR="002E7483" w14:paraId="71707EE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F9129B9" w14:textId="77777777" w:rsidR="002E7483"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FAAA9F" w14:textId="77777777" w:rsidR="002E7483" w:rsidRDefault="00000000">
            <w:r>
              <w:rPr>
                <w:rFonts w:ascii="Calibri" w:hAnsi="Calibri"/>
                <w:color w:val="000000"/>
                <w:sz w:val="19"/>
              </w:rPr>
              <w:t>A-21</w:t>
            </w:r>
          </w:p>
        </w:tc>
      </w:tr>
      <w:tr w:rsidR="002E7483" w14:paraId="2796ECB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3C09E50" w14:textId="77777777" w:rsidR="002E7483"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86206F" w14:textId="77777777" w:rsidR="002E7483" w:rsidRDefault="00000000">
            <w:r>
              <w:rPr>
                <w:rFonts w:ascii="Calibri" w:hAnsi="Calibri"/>
                <w:color w:val="000000"/>
                <w:sz w:val="19"/>
              </w:rPr>
              <w:t>Internal GenAI Acceptable Use Policy — Governed Production Systems</w:t>
            </w:r>
          </w:p>
        </w:tc>
      </w:tr>
      <w:tr w:rsidR="002E7483" w14:paraId="310D481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404BACB" w14:textId="77777777" w:rsidR="002E7483"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7ED710" w14:textId="77777777" w:rsidR="002E7483"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2E7483" w14:paraId="13F9C69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592AA69" w14:textId="77777777" w:rsidR="002E7483"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A0701C" w14:textId="77777777" w:rsidR="002E7483" w:rsidRDefault="00000000">
            <w:r>
              <w:rPr>
                <w:rFonts w:ascii="Calibri" w:hAnsi="Calibri"/>
                <w:color w:val="000000"/>
                <w:sz w:val="19"/>
              </w:rPr>
              <w:t>AI Governance Lead</w:t>
            </w:r>
          </w:p>
        </w:tc>
      </w:tr>
      <w:tr w:rsidR="002E7483" w14:paraId="40716C6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043DE86" w14:textId="77777777" w:rsidR="002E7483"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BCB4CF" w14:textId="77777777" w:rsidR="002E7483" w:rsidRDefault="00000000">
            <w:r>
              <w:rPr>
                <w:rFonts w:ascii="Calibri" w:hAnsi="Calibri"/>
                <w:color w:val="000000"/>
                <w:sz w:val="19"/>
              </w:rPr>
              <w:t>AI Governance Committee (AIGC), ratified by Executive Committee (ExCo)</w:t>
            </w:r>
          </w:p>
        </w:tc>
      </w:tr>
      <w:tr w:rsidR="002E7483" w14:paraId="58D4B49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A5860FE" w14:textId="77777777" w:rsidR="002E7483"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8DC53F" w14:textId="77777777" w:rsidR="002E7483" w:rsidRDefault="00000000">
            <w:r>
              <w:rPr>
                <w:rFonts w:ascii="Calibri" w:hAnsi="Calibri"/>
                <w:color w:val="000000"/>
                <w:sz w:val="19"/>
              </w:rPr>
              <w:t>Internal — Production AI Governance Framework (Tier 1 High-Risk System)</w:t>
            </w:r>
          </w:p>
        </w:tc>
      </w:tr>
      <w:tr w:rsidR="002E7483" w14:paraId="76B14C7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321C3BF" w14:textId="77777777" w:rsidR="002E7483"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5F78FC" w14:textId="77777777" w:rsidR="002E7483" w:rsidRDefault="00000000">
            <w:r>
              <w:rPr>
                <w:rFonts w:ascii="Calibri" w:hAnsi="Calibri"/>
                <w:color w:val="000000"/>
                <w:sz w:val="19"/>
              </w:rPr>
              <w:t>EU AI Act Art. 26 (Deployer Obligations), Art. 14 (Human Oversight), Art. 15 (Cybersecurity &amp; Robustness); ISO/IEC 42001 Cl. 8; MAS TRM Ch. 9 (Application Security); MAS FEAT Accountability</w:t>
            </w:r>
          </w:p>
        </w:tc>
      </w:tr>
      <w:tr w:rsidR="002E7483" w14:paraId="240B66C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ACF40E2" w14:textId="77777777" w:rsidR="002E7483"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F8D4E0" w14:textId="77777777" w:rsidR="002E7483" w:rsidRDefault="00000000">
            <w:r>
              <w:rPr>
                <w:rFonts w:ascii="Calibri" w:hAnsi="Calibri"/>
                <w:color w:val="000000"/>
                <w:sz w:val="19"/>
              </w:rPr>
              <w:t>Annual, or immediately upon any zero-appetite threshold breach or event trigger defined in Post-Deployment Monitoring Policy (A-30) §5</w:t>
            </w:r>
          </w:p>
        </w:tc>
      </w:tr>
      <w:tr w:rsidR="002E7483" w14:paraId="42EEF8C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4719144" w14:textId="77777777" w:rsidR="002E7483"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DEBC69" w14:textId="77777777" w:rsidR="002E7483" w:rsidRDefault="00000000">
            <w:r>
              <w:rPr>
                <w:rFonts w:ascii="Calibri" w:hAnsi="Calibri"/>
                <w:color w:val="000000"/>
                <w:sz w:val="19"/>
              </w:rPr>
              <w:t>Governance design artefact produced as part of a worked portfolio example. Figures, dates, and named decisions demonstrate operational policy enforcement behavior and are internally consistent with Artifacts A-01 through A-44.</w:t>
            </w:r>
          </w:p>
        </w:tc>
      </w:tr>
    </w:tbl>
    <w:p w14:paraId="64CA2AFA" w14:textId="77777777" w:rsidR="002E7483" w:rsidRDefault="002E7483">
      <w:pPr>
        <w:spacing w:after="160"/>
      </w:pPr>
    </w:p>
    <w:p w14:paraId="3ADFA65E" w14:textId="77777777" w:rsidR="002E7483"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2E7483" w14:paraId="01DC176F"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0FE2D0E" w14:textId="77777777" w:rsidR="002E7483" w:rsidRDefault="00000000">
            <w:pPr>
              <w:jc w:val="center"/>
            </w:pPr>
            <w:r>
              <w:rPr>
                <w:rFonts w:ascii="Calibri" w:hAnsi="Calibri"/>
                <w:b/>
                <w:color w:val="FFFFFF"/>
                <w:sz w:val="19"/>
              </w:rPr>
              <w:lastRenderedPageBreak/>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21341D0" w14:textId="77777777" w:rsidR="002E7483"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7D0863A" w14:textId="77777777" w:rsidR="002E7483"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5BA4BB7" w14:textId="77777777" w:rsidR="002E7483"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6F793DC" w14:textId="77777777" w:rsidR="002E7483"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2F01372" w14:textId="77777777" w:rsidR="002E7483"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F26E2EB" w14:textId="77777777" w:rsidR="002E7483" w:rsidRDefault="00000000">
            <w:pPr>
              <w:jc w:val="center"/>
            </w:pPr>
            <w:r>
              <w:rPr>
                <w:rFonts w:ascii="Calibri" w:hAnsi="Calibri"/>
                <w:b/>
                <w:color w:val="FFFFFF"/>
                <w:sz w:val="19"/>
              </w:rPr>
              <w:t>Change Summary</w:t>
            </w:r>
          </w:p>
        </w:tc>
      </w:tr>
      <w:tr w:rsidR="002E7483" w14:paraId="0EDC0CCD"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7BAA6E" w14:textId="77777777" w:rsidR="002E7483" w:rsidRDefault="00000000">
            <w:pPr>
              <w:jc w:val="center"/>
            </w:pPr>
            <w:r>
              <w:rPr>
                <w:rFonts w:ascii="Calibri" w:hAnsi="Calibri"/>
                <w:b/>
                <w:color w:val="000000"/>
                <w:sz w:val="18"/>
              </w:rPr>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462523" w14:textId="77777777" w:rsidR="002E7483" w:rsidRDefault="00000000">
            <w:pPr>
              <w:jc w:val="center"/>
            </w:pPr>
            <w:r>
              <w:rPr>
                <w:rFonts w:ascii="Calibri" w:hAnsi="Calibri"/>
                <w:color w:val="000000"/>
                <w:sz w:val="18"/>
              </w:rPr>
              <w:t>2026-02-20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0BA521" w14:textId="77777777" w:rsidR="002E7483"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CAAEAA" w14:textId="77777777" w:rsidR="002E7483" w:rsidRDefault="00000000">
            <w:r>
              <w:rPr>
                <w:rFonts w:ascii="Calibri" w:hAnsi="Calibri"/>
                <w:color w:val="000000"/>
                <w:sz w:val="18"/>
              </w:rPr>
              <w: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9B9B21" w14:textId="77777777" w:rsidR="002E7483"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9B2611" w14:textId="77777777" w:rsidR="002E7483" w:rsidRDefault="00000000">
            <w:pPr>
              <w:jc w:val="center"/>
            </w:pPr>
            <w:r>
              <w:rPr>
                <w:rFonts w:ascii="Calibri" w:hAnsi="Calibri"/>
                <w:color w:val="000000"/>
                <w:sz w:val="18"/>
              </w:rPr>
              <w:t>Withdrawn</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10355D" w14:textId="77777777" w:rsidR="002E7483" w:rsidRDefault="00000000">
            <w:r>
              <w:rPr>
                <w:rFonts w:ascii="Calibri" w:hAnsi="Calibri"/>
                <w:color w:val="000000"/>
                <w:sz w:val="18"/>
              </w:rPr>
              <w:t>Initial policy; scope overlapped with the workforce-facing acceptable use policy.</w:t>
            </w:r>
          </w:p>
        </w:tc>
      </w:tr>
      <w:tr w:rsidR="002E7483" w14:paraId="4A2B528E"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E3CA0C" w14:textId="77777777" w:rsidR="002E7483" w:rsidRDefault="00000000">
            <w:pPr>
              <w:jc w:val="center"/>
            </w:pPr>
            <w:r>
              <w:rPr>
                <w:rFonts w:ascii="Calibri" w:hAnsi="Calibri"/>
                <w:b/>
                <w:color w:val="000000"/>
                <w:sz w:val="18"/>
              </w:rPr>
              <w:t>v2.0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CB0353" w14:textId="77777777" w:rsidR="002E7483"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4B869B" w14:textId="77777777" w:rsidR="002E7483"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77C11A" w14:textId="77777777" w:rsidR="002E7483" w:rsidRDefault="00000000">
            <w:r>
              <w:rPr>
                <w:rFonts w:ascii="Calibri" w:hAnsi="Calibri"/>
                <w:color w:val="000000"/>
                <w:sz w:val="18"/>
              </w:rPr>
              <w:t>Compliance; Security Architecture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37BF4A" w14:textId="77777777" w:rsidR="002E7483"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B2403D" w14:textId="77777777" w:rsidR="002E7483"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575380" w14:textId="77777777" w:rsidR="002E7483" w:rsidRDefault="00000000">
            <w:r>
              <w:rPr>
                <w:rFonts w:ascii="Calibri" w:hAnsi="Calibri"/>
                <w:color w:val="000000"/>
                <w:sz w:val="18"/>
              </w:rPr>
              <w:t>Rescoped to governed production systems and their mandatory control set. General workforce guidance moved entirely to A-22.</w:t>
            </w:r>
          </w:p>
        </w:tc>
      </w:tr>
    </w:tbl>
    <w:p w14:paraId="1D78B49A" w14:textId="77777777" w:rsidR="002E7483" w:rsidRDefault="002E7483"/>
    <w:p w14:paraId="3AB53EFA" w14:textId="77777777" w:rsidR="002E7483" w:rsidRDefault="00000000">
      <w:pPr>
        <w:spacing w:after="80"/>
      </w:pPr>
      <w:r>
        <w:rPr>
          <w:rFonts w:ascii="Calibri" w:hAnsi="Calibri"/>
          <w:b/>
          <w:color w:val="1F3864"/>
          <w:sz w:val="28"/>
        </w:rPr>
        <w:t>1. Scope and Separation of Governance Instruments</w:t>
      </w:r>
    </w:p>
    <w:p w14:paraId="563DDE27" w14:textId="77777777" w:rsidR="002E7483" w:rsidRDefault="00000000">
      <w:pPr>
        <w:spacing w:after="120"/>
      </w:pPr>
      <w:r>
        <w:rPr>
          <w:rFonts w:ascii="Calibri" w:hAnsi="Calibri"/>
          <w:sz w:val="20"/>
        </w:rPr>
        <w:t>Version 1.0 of this policy attempted to cover both the bank's governed production AI deployments and general workforce use of AI productivity tools. These represent fundamentally different operational problems with distinct audiences, risk profiles, and regulatory obligations. Covering both produced a document that was too high-level for technical system operators and too complex for general banking staff. The scope has been cleanly partitioned into two mutually exclusive governance instruments:</w:t>
      </w:r>
    </w:p>
    <w:tbl>
      <w:tblPr>
        <w:tblW w:w="0" w:type="auto"/>
        <w:jc w:val="center"/>
        <w:tblLook w:val="04A0" w:firstRow="1" w:lastRow="0" w:firstColumn="1" w:lastColumn="0" w:noHBand="0" w:noVBand="1"/>
      </w:tblPr>
      <w:tblGrid>
        <w:gridCol w:w="4968"/>
        <w:gridCol w:w="4968"/>
      </w:tblGrid>
      <w:tr w:rsidR="002E7483" w14:paraId="7830C92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E805623" w14:textId="77777777" w:rsidR="002E7483" w:rsidRDefault="00000000">
            <w:pPr>
              <w:jc w:val="center"/>
            </w:pPr>
            <w:r>
              <w:rPr>
                <w:rFonts w:ascii="Calibri" w:hAnsi="Calibri"/>
                <w:b/>
                <w:color w:val="FFFFFF"/>
                <w:sz w:val="19"/>
              </w:rPr>
              <w:t>This Policy (A-21: Governed Production Systems)</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C7539A2" w14:textId="77777777" w:rsidR="002E7483" w:rsidRDefault="00000000">
            <w:pPr>
              <w:jc w:val="center"/>
            </w:pPr>
            <w:r>
              <w:rPr>
                <w:rFonts w:ascii="Calibri" w:hAnsi="Calibri"/>
                <w:b/>
                <w:color w:val="FFFFFF"/>
                <w:sz w:val="19"/>
              </w:rPr>
              <w:t>The Workforce Policy (A-22: Enterprise Workforce)</w:t>
            </w:r>
          </w:p>
        </w:tc>
      </w:tr>
      <w:tr w:rsidR="002E7483" w14:paraId="1C313E12"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A2AE93" w14:textId="77777777" w:rsidR="002E7483" w:rsidRDefault="00000000">
            <w:r>
              <w:rPr>
                <w:rFonts w:ascii="Calibri" w:hAnsi="Calibri"/>
                <w:color w:val="000000"/>
                <w:sz w:val="18"/>
              </w:rPr>
              <w:t>Governs the Credit Decisioning Assistant (CDA) and any future in-house built, fine-tuned, or API-orchestrated production AI system.</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0FEE2E" w14:textId="77777777" w:rsidR="002E7483" w:rsidRDefault="00000000">
            <w:r>
              <w:rPr>
                <w:rFonts w:ascii="Calibri" w:hAnsi="Calibri"/>
                <w:color w:val="000000"/>
                <w:sz w:val="18"/>
              </w:rPr>
              <w:t>Governs individual employee and contractor use of workplace productivity tools (e.g., Microsoft 365 Copilot, enterprise search).</w:t>
            </w:r>
          </w:p>
        </w:tc>
      </w:tr>
      <w:tr w:rsidR="002E7483" w14:paraId="21B5308B"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26FD7A" w14:textId="77777777" w:rsidR="002E7483" w:rsidRDefault="00000000">
            <w:r>
              <w:rPr>
                <w:rFonts w:ascii="Calibri" w:hAnsi="Calibri"/>
                <w:color w:val="000000"/>
                <w:sz w:val="18"/>
              </w:rPr>
              <w:t>Defines the mandatory technical control set (GDR-01 to GDR-06, ENF-01/02) enforced at the IAM permission layer.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D6E8FD" w14:textId="77777777" w:rsidR="002E7483" w:rsidRDefault="00000000">
            <w:r>
              <w:rPr>
                <w:rFonts w:ascii="Calibri" w:hAnsi="Calibri"/>
                <w:color w:val="000000"/>
                <w:sz w:val="18"/>
              </w:rPr>
              <w:t>Defines what business data may or may not be entered into corporate assistants; prohibits consumer tools (ChatGPT, Gemini).</w:t>
            </w:r>
          </w:p>
        </w:tc>
      </w:tr>
      <w:tr w:rsidR="002E7483" w14:paraId="4F0F1DB0"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13F713" w14:textId="77777777" w:rsidR="002E7483" w:rsidRDefault="00000000">
            <w:r>
              <w:rPr>
                <w:rFonts w:ascii="Calibri" w:hAnsi="Calibri"/>
                <w:color w:val="000000"/>
                <w:sz w:val="18"/>
              </w:rPr>
              <w:t xml:space="preserve">Governs API invocation boundaries, automated Step Functions, </w:t>
            </w:r>
            <w:r>
              <w:rPr>
                <w:rFonts w:ascii="Calibri" w:hAnsi="Calibri"/>
                <w:color w:val="000000"/>
                <w:sz w:val="18"/>
              </w:rPr>
              <w:lastRenderedPageBreak/>
              <w:t>underwriter decision endpoints, and model weights.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FA5EAD" w14:textId="77777777" w:rsidR="002E7483" w:rsidRDefault="00000000">
            <w:r>
              <w:rPr>
                <w:rFonts w:ascii="Calibri" w:hAnsi="Calibri"/>
                <w:color w:val="000000"/>
                <w:sz w:val="18"/>
              </w:rPr>
              <w:lastRenderedPageBreak/>
              <w:t xml:space="preserve">Governs administrative drafting, document summarization, </w:t>
            </w:r>
            <w:r>
              <w:rPr>
                <w:rFonts w:ascii="Calibri" w:hAnsi="Calibri"/>
                <w:color w:val="000000"/>
                <w:sz w:val="18"/>
              </w:rPr>
              <w:lastRenderedPageBreak/>
              <w:t>code generation assistance, and desk research.</w:t>
            </w:r>
          </w:p>
        </w:tc>
      </w:tr>
      <w:tr w:rsidR="002E7483" w14:paraId="3AACA98A"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F2D91C" w14:textId="77777777" w:rsidR="002E7483" w:rsidRDefault="00000000">
            <w:r>
              <w:rPr>
                <w:rFonts w:ascii="Calibri" w:hAnsi="Calibri"/>
                <w:color w:val="000000"/>
                <w:sz w:val="18"/>
              </w:rPr>
              <w:lastRenderedPageBreak/>
              <w:t>Establishes a rigorous cryptographic exception process for developers and system operators requiring test access.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7FB76D" w14:textId="77777777" w:rsidR="002E7483" w:rsidRDefault="00000000">
            <w:r>
              <w:rPr>
                <w:rFonts w:ascii="Calibri" w:hAnsi="Calibri"/>
                <w:color w:val="000000"/>
                <w:sz w:val="18"/>
              </w:rPr>
              <w:t>Establishes guidelines for prompt engineering, copyright verification, and reporting shadow AI tools.</w:t>
            </w:r>
          </w:p>
        </w:tc>
      </w:tr>
    </w:tbl>
    <w:p w14:paraId="0CF0DDEA" w14:textId="77777777" w:rsidR="002E7483" w:rsidRDefault="002E7483"/>
    <w:p w14:paraId="0F7E1820" w14:textId="77777777" w:rsidR="002E7483" w:rsidRDefault="00000000">
      <w:pPr>
        <w:spacing w:after="80"/>
      </w:pPr>
      <w:r>
        <w:rPr>
          <w:rFonts w:ascii="Calibri" w:hAnsi="Calibri"/>
          <w:b/>
          <w:color w:val="1F3864"/>
          <w:sz w:val="28"/>
        </w:rPr>
        <w:t>2. Mandatory Production Control Set</w:t>
      </w:r>
    </w:p>
    <w:p w14:paraId="73704D5A" w14:textId="77777777" w:rsidR="002E7483" w:rsidRDefault="00000000">
      <w:pPr>
        <w:spacing w:after="120"/>
      </w:pPr>
      <w:r>
        <w:rPr>
          <w:rFonts w:ascii="Calibri" w:hAnsi="Calibri"/>
          <w:sz w:val="20"/>
        </w:rPr>
        <w:t>Every production invocation of the Credit Decisioning Assistant carries the complete approved control set. This is not a guideline or default configuration — it is a non-negotiable architectural precondition enforced at the IAM execution boundary layer. No application code path exists that can invoke either XGBoost or AWS Bedrock without these controls attached:</w:t>
      </w:r>
    </w:p>
    <w:tbl>
      <w:tblPr>
        <w:tblW w:w="0" w:type="auto"/>
        <w:jc w:val="center"/>
        <w:tblLook w:val="04A0" w:firstRow="1" w:lastRow="0" w:firstColumn="1" w:lastColumn="0" w:noHBand="0" w:noVBand="1"/>
      </w:tblPr>
      <w:tblGrid>
        <w:gridCol w:w="3312"/>
        <w:gridCol w:w="3312"/>
        <w:gridCol w:w="3312"/>
      </w:tblGrid>
      <w:tr w:rsidR="002E7483" w14:paraId="043D0769"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6546BB5" w14:textId="77777777" w:rsidR="002E7483" w:rsidRDefault="00000000">
            <w:pPr>
              <w:jc w:val="center"/>
            </w:pPr>
            <w:r>
              <w:rPr>
                <w:rFonts w:ascii="Calibri" w:hAnsi="Calibri"/>
                <w:b/>
                <w:color w:val="FFFFFF"/>
                <w:sz w:val="19"/>
              </w:rPr>
              <w:t>Control Ref &amp; Specification</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FB4DBE3" w14:textId="77777777" w:rsidR="002E7483" w:rsidRDefault="00000000">
            <w:r>
              <w:rPr>
                <w:rFonts w:ascii="Calibri" w:hAnsi="Calibri"/>
                <w:b/>
                <w:color w:val="FFFFFF"/>
                <w:sz w:val="19"/>
              </w:rPr>
              <w:t>Operational Enforcement Standard</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8648B33" w14:textId="77777777" w:rsidR="002E7483" w:rsidRDefault="00000000">
            <w:pPr>
              <w:jc w:val="center"/>
            </w:pPr>
            <w:r>
              <w:rPr>
                <w:rFonts w:ascii="Calibri" w:hAnsi="Calibri"/>
                <w:b/>
                <w:color w:val="FFFFFF"/>
                <w:sz w:val="19"/>
              </w:rPr>
              <w:t>Waivable / Exception Status</w:t>
            </w:r>
          </w:p>
        </w:tc>
      </w:tr>
      <w:tr w:rsidR="002E7483" w14:paraId="4300B5E3"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51FF7E" w14:textId="77777777" w:rsidR="002E7483" w:rsidRDefault="00000000">
            <w:pPr>
              <w:jc w:val="center"/>
            </w:pPr>
            <w:r>
              <w:rPr>
                <w:rFonts w:ascii="Calibri" w:hAnsi="Calibri"/>
                <w:b/>
                <w:color w:val="000000"/>
                <w:sz w:val="18"/>
              </w:rPr>
              <w:t>GDR-01 Content Filtering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C34F07" w14:textId="77777777" w:rsidR="002E7483" w:rsidRDefault="00000000">
            <w:r>
              <w:rPr>
                <w:rFonts w:ascii="Calibri" w:hAnsi="Calibri"/>
                <w:color w:val="000000"/>
                <w:sz w:val="18"/>
              </w:rPr>
              <w:t>Applied to input prompts and generated outputs on every invocation; filters toxic, adversarial, and jailbreak syntax.</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7BB999C" w14:textId="77777777" w:rsidR="002E7483" w:rsidRDefault="00000000">
            <w:pPr>
              <w:jc w:val="center"/>
            </w:pPr>
            <w:r>
              <w:rPr>
                <w:rFonts w:ascii="Calibri" w:hAnsi="Calibri"/>
                <w:b/>
                <w:color w:val="000000"/>
                <w:sz w:val="18"/>
              </w:rPr>
              <w:t>No — Mandatory</w:t>
            </w:r>
          </w:p>
        </w:tc>
      </w:tr>
      <w:tr w:rsidR="002E7483" w14:paraId="467BB573"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4E927F" w14:textId="77777777" w:rsidR="002E7483" w:rsidRDefault="00000000">
            <w:pPr>
              <w:jc w:val="center"/>
            </w:pPr>
            <w:r>
              <w:rPr>
                <w:rFonts w:ascii="Calibri" w:hAnsi="Calibri"/>
                <w:b/>
                <w:color w:val="000000"/>
                <w:sz w:val="18"/>
              </w:rPr>
              <w:t>GDR-02 Denied Topics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A56BB20" w14:textId="77777777" w:rsidR="002E7483" w:rsidRDefault="00000000">
            <w:r>
              <w:rPr>
                <w:rFonts w:ascii="Calibri" w:hAnsi="Calibri"/>
                <w:color w:val="000000"/>
                <w:sz w:val="18"/>
              </w:rPr>
              <w:t>Enforces strict financial advisory boundary; model is prohibited from recommending specific investment products or unregulated terms.</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C557BD1" w14:textId="77777777" w:rsidR="002E7483" w:rsidRDefault="00000000">
            <w:pPr>
              <w:jc w:val="center"/>
            </w:pPr>
            <w:r>
              <w:rPr>
                <w:rFonts w:ascii="Calibri" w:hAnsi="Calibri"/>
                <w:b/>
                <w:color w:val="000000"/>
                <w:sz w:val="18"/>
              </w:rPr>
              <w:t>No — Mandatory</w:t>
            </w:r>
          </w:p>
        </w:tc>
      </w:tr>
      <w:tr w:rsidR="002E7483" w14:paraId="3613CEF4"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ECE348" w14:textId="77777777" w:rsidR="002E7483" w:rsidRDefault="00000000">
            <w:pPr>
              <w:jc w:val="center"/>
            </w:pPr>
            <w:r>
              <w:rPr>
                <w:rFonts w:ascii="Calibri" w:hAnsi="Calibri"/>
                <w:b/>
                <w:color w:val="000000"/>
                <w:sz w:val="18"/>
              </w:rPr>
              <w:t>GDR-03 Personal Data Redaction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D80737" w14:textId="77777777" w:rsidR="002E7483" w:rsidRDefault="00000000">
            <w:r>
              <w:rPr>
                <w:rFonts w:ascii="Calibri" w:hAnsi="Calibri"/>
                <w:color w:val="000000"/>
                <w:sz w:val="18"/>
              </w:rPr>
              <w:t>Applied dynamically before narrative rationale reaches loan officers and before records are written to persistent audit storage.</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E999C74" w14:textId="77777777" w:rsidR="002E7483" w:rsidRDefault="00000000">
            <w:pPr>
              <w:jc w:val="center"/>
            </w:pPr>
            <w:r>
              <w:rPr>
                <w:rFonts w:ascii="Calibri" w:hAnsi="Calibri"/>
                <w:b/>
                <w:color w:val="000000"/>
                <w:sz w:val="18"/>
              </w:rPr>
              <w:t>No — Mandatory</w:t>
            </w:r>
          </w:p>
        </w:tc>
      </w:tr>
      <w:tr w:rsidR="002E7483" w14:paraId="27F1B25F"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F7450D" w14:textId="77777777" w:rsidR="002E7483" w:rsidRDefault="00000000">
            <w:pPr>
              <w:jc w:val="center"/>
            </w:pPr>
            <w:r>
              <w:rPr>
                <w:rFonts w:ascii="Calibri" w:hAnsi="Calibri"/>
                <w:b/>
                <w:color w:val="000000"/>
                <w:sz w:val="18"/>
              </w:rPr>
              <w:t>GDR-04 Grounding Verification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20D878" w14:textId="77777777" w:rsidR="002E7483" w:rsidRDefault="00000000">
            <w:r>
              <w:rPr>
                <w:rFonts w:ascii="Calibri" w:hAnsi="Calibri"/>
                <w:color w:val="000000"/>
                <w:sz w:val="18"/>
              </w:rPr>
              <w:t>Automated entailment scoring (&gt;= 0.75 floor); unsupported or hallucinated policy citations are blocked instantaneously, not flagged.</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1C1D37C8" w14:textId="77777777" w:rsidR="002E7483" w:rsidRDefault="00000000">
            <w:pPr>
              <w:jc w:val="center"/>
            </w:pPr>
            <w:r>
              <w:rPr>
                <w:rFonts w:ascii="Calibri" w:hAnsi="Calibri"/>
                <w:b/>
                <w:color w:val="000000"/>
                <w:sz w:val="18"/>
              </w:rPr>
              <w:t>No — Mandatory</w:t>
            </w:r>
          </w:p>
        </w:tc>
      </w:tr>
      <w:tr w:rsidR="002E7483" w14:paraId="7E5D80AC"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54C19F" w14:textId="77777777" w:rsidR="002E7483" w:rsidRDefault="00000000">
            <w:pPr>
              <w:jc w:val="center"/>
            </w:pPr>
            <w:r>
              <w:rPr>
                <w:rFonts w:ascii="Calibri" w:hAnsi="Calibri"/>
                <w:b/>
                <w:color w:val="000000"/>
                <w:sz w:val="18"/>
              </w:rPr>
              <w:t>GDR-05 Blocked-Response Routing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94EC2C" w14:textId="77777777" w:rsidR="002E7483" w:rsidRDefault="00000000">
            <w:r>
              <w:rPr>
                <w:rFonts w:ascii="Calibri" w:hAnsi="Calibri"/>
                <w:color w:val="000000"/>
                <w:sz w:val="18"/>
              </w:rPr>
              <w:t>Blocked responses route immediately to human underwriter queue with an actionable diagnostic message, falling back to deterministic score.</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30350DC1" w14:textId="77777777" w:rsidR="002E7483" w:rsidRDefault="00000000">
            <w:pPr>
              <w:jc w:val="center"/>
            </w:pPr>
            <w:r>
              <w:rPr>
                <w:rFonts w:ascii="Calibri" w:hAnsi="Calibri"/>
                <w:b/>
                <w:color w:val="000000"/>
                <w:sz w:val="18"/>
              </w:rPr>
              <w:t>No — Mandatory</w:t>
            </w:r>
          </w:p>
        </w:tc>
      </w:tr>
      <w:tr w:rsidR="002E7483" w14:paraId="27F6E348"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1E4556" w14:textId="77777777" w:rsidR="002E7483" w:rsidRDefault="00000000">
            <w:pPr>
              <w:jc w:val="center"/>
            </w:pPr>
            <w:r>
              <w:rPr>
                <w:rFonts w:ascii="Calibri" w:hAnsi="Calibri"/>
                <w:b/>
                <w:color w:val="000000"/>
                <w:sz w:val="18"/>
              </w:rPr>
              <w:t>GDR-06 Logical Verification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56E202" w14:textId="77777777" w:rsidR="002E7483" w:rsidRDefault="00000000">
            <w:r>
              <w:rPr>
                <w:rFonts w:ascii="Calibri" w:hAnsi="Calibri"/>
                <w:color w:val="9C0006"/>
                <w:sz w:val="18"/>
              </w:rPr>
              <w:t>Formal rule verification against policy logic. Regionally constrained in Singapore (AWS ap-southeast-1); compensated via Underwriter Check 2 (R-12).</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8296AE7" w14:textId="77777777" w:rsidR="002E7483" w:rsidRDefault="00000000">
            <w:pPr>
              <w:jc w:val="center"/>
            </w:pPr>
            <w:r>
              <w:rPr>
                <w:rFonts w:ascii="Calibri" w:hAnsi="Calibri"/>
                <w:b/>
                <w:color w:val="9C0006"/>
                <w:sz w:val="18"/>
              </w:rPr>
              <w:t>Waived under R-12 (Quarterly Review)</w:t>
            </w:r>
          </w:p>
        </w:tc>
      </w:tr>
      <w:tr w:rsidR="002E7483" w14:paraId="2436E162"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79FFF2" w14:textId="77777777" w:rsidR="002E7483" w:rsidRDefault="00000000">
            <w:pPr>
              <w:jc w:val="center"/>
            </w:pPr>
            <w:r>
              <w:rPr>
                <w:rFonts w:ascii="Calibri" w:hAnsi="Calibri"/>
                <w:b/>
                <w:color w:val="000000"/>
                <w:sz w:val="18"/>
              </w:rPr>
              <w:lastRenderedPageBreak/>
              <w:t>ENF-01 Permission Enforcement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5CC8FE" w14:textId="77777777" w:rsidR="002E7483" w:rsidRDefault="00000000">
            <w:r>
              <w:rPr>
                <w:rFonts w:ascii="Calibri" w:hAnsi="Calibri"/>
                <w:color w:val="000000"/>
                <w:sz w:val="18"/>
              </w:rPr>
              <w:t>IAM execution policy denies all access unless the complete guardrail wrapper is programmatically attached. Verified via active denial telemetry.</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2697AF90" w14:textId="77777777" w:rsidR="002E7483" w:rsidRDefault="00000000">
            <w:pPr>
              <w:jc w:val="center"/>
            </w:pPr>
            <w:r>
              <w:rPr>
                <w:rFonts w:ascii="Calibri" w:hAnsi="Calibri"/>
                <w:b/>
                <w:color w:val="000000"/>
                <w:sz w:val="18"/>
              </w:rPr>
              <w:t>No — Mandatory</w:t>
            </w:r>
          </w:p>
        </w:tc>
      </w:tr>
      <w:tr w:rsidR="002E7483" w14:paraId="38AE3C16"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713DAC" w14:textId="77777777" w:rsidR="002E7483" w:rsidRDefault="00000000">
            <w:pPr>
              <w:jc w:val="center"/>
            </w:pPr>
            <w:r>
              <w:rPr>
                <w:rFonts w:ascii="Calibri" w:hAnsi="Calibri"/>
                <w:b/>
                <w:color w:val="000000"/>
                <w:sz w:val="18"/>
              </w:rPr>
              <w:t>DET-01 / DET-02 Determinism</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57DDDA" w14:textId="77777777" w:rsidR="002E7483" w:rsidRDefault="00000000">
            <w:r>
              <w:rPr>
                <w:rFonts w:ascii="Calibri" w:hAnsi="Calibri"/>
                <w:color w:val="000000"/>
                <w:sz w:val="18"/>
              </w:rPr>
              <w:t>Temperature pinned to 0.0 and system prompt SHA-256 hashed to guarantee repeatable, audit-reproducible rationales across identical inputs.</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54E6E363" w14:textId="77777777" w:rsidR="002E7483" w:rsidRDefault="00000000">
            <w:pPr>
              <w:jc w:val="center"/>
            </w:pPr>
            <w:r>
              <w:rPr>
                <w:rFonts w:ascii="Calibri" w:hAnsi="Calibri"/>
                <w:b/>
                <w:color w:val="000000"/>
                <w:sz w:val="18"/>
              </w:rPr>
              <w:t>No — Mandatory</w:t>
            </w:r>
          </w:p>
        </w:tc>
      </w:tr>
    </w:tbl>
    <w:p w14:paraId="0F43D9C8" w14:textId="77777777" w:rsidR="002E7483" w:rsidRDefault="002E7483"/>
    <w:p w14:paraId="39069391" w14:textId="77777777" w:rsidR="002E7483" w:rsidRDefault="00000000">
      <w:pPr>
        <w:spacing w:after="80"/>
      </w:pPr>
      <w:r>
        <w:rPr>
          <w:rFonts w:ascii="Calibri" w:hAnsi="Calibri"/>
          <w:b/>
          <w:color w:val="1F3864"/>
          <w:sz w:val="28"/>
        </w:rPr>
        <w:t>3. Permitted System Uses and Operational Boundaries</w:t>
      </w:r>
    </w:p>
    <w:p w14:paraId="4C57E735" w14:textId="77777777" w:rsidR="002E7483" w:rsidRDefault="00000000">
      <w:pPr>
        <w:spacing w:after="80"/>
      </w:pPr>
      <w:r>
        <w:rPr>
          <w:rFonts w:ascii="Calibri" w:hAnsi="Calibri"/>
          <w:sz w:val="20"/>
        </w:rPr>
        <w:t>The Credit Decisioning Assistant is authorized strictly for the following governed operational workflows:</w:t>
      </w:r>
    </w:p>
    <w:p w14:paraId="634DCBAC" w14:textId="77777777" w:rsidR="002E7483" w:rsidRDefault="00000000">
      <w:pPr>
        <w:spacing w:after="60"/>
      </w:pPr>
      <w:r>
        <w:rPr>
          <w:rFonts w:ascii="Calibri" w:hAnsi="Calibri"/>
          <w:b/>
          <w:color w:val="1F3864"/>
          <w:sz w:val="19"/>
        </w:rPr>
        <w:t xml:space="preserve">• Drafting Credit Decision Rationales: </w:t>
      </w:r>
      <w:r>
        <w:rPr>
          <w:rFonts w:ascii="Calibri" w:hAnsi="Calibri"/>
          <w:sz w:val="19"/>
        </w:rPr>
        <w:t>Generating explanatory narrative draft text and adverse-action policy citations to assist credentialed loan underwriters in evaluating retail loan applications.</w:t>
      </w:r>
    </w:p>
    <w:p w14:paraId="3A8B6325" w14:textId="77777777" w:rsidR="002E7483" w:rsidRDefault="00000000">
      <w:pPr>
        <w:spacing w:after="60"/>
      </w:pPr>
      <w:r>
        <w:rPr>
          <w:rFonts w:ascii="Calibri" w:hAnsi="Calibri"/>
          <w:b/>
          <w:color w:val="1F3864"/>
          <w:sz w:val="19"/>
        </w:rPr>
        <w:t xml:space="preserve">• Corpus-Grounded Retrieval: </w:t>
      </w:r>
      <w:r>
        <w:rPr>
          <w:rFonts w:ascii="Calibri" w:hAnsi="Calibri"/>
          <w:sz w:val="19"/>
        </w:rPr>
        <w:t>Retrieving lending policy clauses strictly from the approved, version-pinned bank lending policy corpus (A-14). No external web searching, unindexed document stores, or unapproved corpora may be attached.</w:t>
      </w:r>
    </w:p>
    <w:p w14:paraId="10675E3B" w14:textId="77777777" w:rsidR="002E7483" w:rsidRDefault="00000000">
      <w:pPr>
        <w:spacing w:after="60"/>
      </w:pPr>
      <w:r>
        <w:rPr>
          <w:rFonts w:ascii="Calibri" w:hAnsi="Calibri"/>
          <w:b/>
          <w:color w:val="1F3864"/>
          <w:sz w:val="19"/>
        </w:rPr>
        <w:t xml:space="preserve">• Bounded Pilot Population: </w:t>
      </w:r>
      <w:r>
        <w:rPr>
          <w:rFonts w:ascii="Calibri" w:hAnsi="Calibri"/>
          <w:sz w:val="19"/>
        </w:rPr>
        <w:t>Executing inference solely across retail credit applications within the authorized 500-application pilot ceiling. Any volume expansion beyond 500 applications requires a formal Stage 5 re-authorization decision.</w:t>
      </w:r>
    </w:p>
    <w:p w14:paraId="6896C477" w14:textId="77777777" w:rsidR="002E7483" w:rsidRDefault="002E7483">
      <w:pPr>
        <w:spacing w:after="120"/>
      </w:pPr>
    </w:p>
    <w:p w14:paraId="7AFBEA8F" w14:textId="77777777" w:rsidR="002E7483" w:rsidRDefault="00000000">
      <w:pPr>
        <w:spacing w:after="80"/>
      </w:pPr>
      <w:r>
        <w:rPr>
          <w:rFonts w:ascii="Calibri" w:hAnsi="Calibri"/>
          <w:b/>
          <w:color w:val="1F3864"/>
          <w:sz w:val="24"/>
        </w:rPr>
        <w:t>3.1. Production Data Ingestion &amp; Classification Boundaries</w:t>
      </w:r>
    </w:p>
    <w:p w14:paraId="2D626E48" w14:textId="77777777" w:rsidR="002E7483" w:rsidRDefault="00000000">
      <w:pPr>
        <w:spacing w:after="120"/>
      </w:pPr>
      <w:r>
        <w:rPr>
          <w:rFonts w:ascii="Calibri" w:hAnsi="Calibri"/>
          <w:sz w:val="20"/>
        </w:rPr>
        <w:t>All data ingested into the CDA pipeline must strictly comply with the 5-tier classification rules established in Data Governance Policy A-13:</w:t>
      </w:r>
    </w:p>
    <w:tbl>
      <w:tblPr>
        <w:tblW w:w="0" w:type="auto"/>
        <w:jc w:val="center"/>
        <w:tblLook w:val="04A0" w:firstRow="1" w:lastRow="0" w:firstColumn="1" w:lastColumn="0" w:noHBand="0" w:noVBand="1"/>
      </w:tblPr>
      <w:tblGrid>
        <w:gridCol w:w="3312"/>
        <w:gridCol w:w="3312"/>
        <w:gridCol w:w="3312"/>
      </w:tblGrid>
      <w:tr w:rsidR="002E7483" w14:paraId="6A1527B7"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42D7D39" w14:textId="77777777" w:rsidR="002E7483" w:rsidRDefault="00000000">
            <w:pPr>
              <w:jc w:val="center"/>
            </w:pPr>
            <w:r>
              <w:rPr>
                <w:rFonts w:ascii="Calibri" w:hAnsi="Calibri"/>
                <w:b/>
                <w:color w:val="FFFFFF"/>
                <w:sz w:val="19"/>
              </w:rPr>
              <w:t>Classification Level</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029CEF8" w14:textId="77777777" w:rsidR="002E7483" w:rsidRDefault="00000000">
            <w:pPr>
              <w:jc w:val="center"/>
            </w:pPr>
            <w:r>
              <w:rPr>
                <w:rFonts w:ascii="Calibri" w:hAnsi="Calibri"/>
                <w:b/>
                <w:color w:val="FFFFFF"/>
                <w:sz w:val="19"/>
              </w:rPr>
              <w:t>Governed Ingestion Status</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EF5E312" w14:textId="77777777" w:rsidR="002E7483" w:rsidRDefault="00000000">
            <w:r>
              <w:rPr>
                <w:rFonts w:ascii="Calibri" w:hAnsi="Calibri"/>
                <w:b/>
                <w:color w:val="FFFFFF"/>
                <w:sz w:val="19"/>
              </w:rPr>
              <w:t>Technical Ingestion Constraints</w:t>
            </w:r>
          </w:p>
        </w:tc>
      </w:tr>
      <w:tr w:rsidR="002E7483" w14:paraId="73301DED"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A19330" w14:textId="77777777" w:rsidR="002E7483" w:rsidRDefault="00000000">
            <w:r>
              <w:rPr>
                <w:rFonts w:ascii="Calibri" w:hAnsi="Calibri"/>
                <w:b/>
                <w:color w:val="000000"/>
                <w:sz w:val="18"/>
              </w:rPr>
              <w:t>L1: Public Policy Data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986E01" w14:textId="77777777" w:rsidR="002E7483" w:rsidRDefault="00000000">
            <w:pPr>
              <w:jc w:val="center"/>
            </w:pPr>
            <w:r>
              <w:rPr>
                <w:rFonts w:ascii="Calibri" w:hAnsi="Calibri"/>
                <w:b/>
                <w:color w:val="000000"/>
                <w:sz w:val="18"/>
              </w:rPr>
              <w:t>Permitted in RAG Retrieval Corpus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C106D6" w14:textId="77777777" w:rsidR="002E7483" w:rsidRDefault="00000000">
            <w:r>
              <w:rPr>
                <w:rFonts w:ascii="Calibri" w:hAnsi="Calibri"/>
                <w:color w:val="000000"/>
                <w:sz w:val="18"/>
              </w:rPr>
              <w:t>Published bank underwriting rules, interest rate matrices, regulatory disclosure guidelines. Verified via SHA-256 hash.</w:t>
            </w:r>
          </w:p>
        </w:tc>
      </w:tr>
      <w:tr w:rsidR="002E7483" w14:paraId="7A74EFBE"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F8F34D" w14:textId="77777777" w:rsidR="002E7483" w:rsidRDefault="00000000">
            <w:r>
              <w:rPr>
                <w:rFonts w:ascii="Calibri" w:hAnsi="Calibri"/>
                <w:b/>
                <w:color w:val="000000"/>
                <w:sz w:val="18"/>
              </w:rPr>
              <w:t>L2: Internal Operational Data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9AA185" w14:textId="77777777" w:rsidR="002E7483" w:rsidRDefault="00000000">
            <w:pPr>
              <w:jc w:val="center"/>
            </w:pPr>
            <w:r>
              <w:rPr>
                <w:rFonts w:ascii="Calibri" w:hAnsi="Calibri"/>
                <w:b/>
                <w:color w:val="000000"/>
                <w:sz w:val="18"/>
              </w:rPr>
              <w:t>Permitted in Orchestration / Metadata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334F44" w14:textId="77777777" w:rsidR="002E7483" w:rsidRDefault="00000000">
            <w:r>
              <w:rPr>
                <w:rFonts w:ascii="Calibri" w:hAnsi="Calibri"/>
                <w:color w:val="000000"/>
                <w:sz w:val="18"/>
              </w:rPr>
              <w:t>Underwriting risk parameters, model version IDs, anonymized system performance metrics.</w:t>
            </w:r>
          </w:p>
        </w:tc>
      </w:tr>
      <w:tr w:rsidR="002E7483" w14:paraId="5B4F3D5E"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1E3897" w14:textId="77777777" w:rsidR="002E7483" w:rsidRDefault="00000000">
            <w:r>
              <w:rPr>
                <w:rFonts w:ascii="Calibri" w:hAnsi="Calibri"/>
                <w:b/>
                <w:color w:val="000000"/>
                <w:sz w:val="18"/>
              </w:rPr>
              <w:t>L3: Confidential Customer Data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6E00B3" w14:textId="77777777" w:rsidR="002E7483" w:rsidRDefault="00000000">
            <w:pPr>
              <w:jc w:val="center"/>
            </w:pPr>
            <w:r>
              <w:rPr>
                <w:rFonts w:ascii="Calibri" w:hAnsi="Calibri"/>
                <w:b/>
                <w:color w:val="000000"/>
                <w:sz w:val="18"/>
              </w:rPr>
              <w:t>Permitted in Live Query Ingestion (Restricted)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1DB901" w14:textId="77777777" w:rsidR="002E7483" w:rsidRDefault="00000000">
            <w:r>
              <w:rPr>
                <w:rFonts w:ascii="Calibri" w:hAnsi="Calibri"/>
                <w:color w:val="000000"/>
                <w:sz w:val="18"/>
              </w:rPr>
              <w:t>Applicant income, employment status, loan request ID. Strictly masked in logs; redacted via GDR-03 before persistent audit vault storage.</w:t>
            </w:r>
          </w:p>
        </w:tc>
      </w:tr>
      <w:tr w:rsidR="002E7483" w14:paraId="7D625D5E"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F22F78" w14:textId="77777777" w:rsidR="002E7483" w:rsidRDefault="00000000">
            <w:r>
              <w:rPr>
                <w:rFonts w:ascii="Calibri" w:hAnsi="Calibri"/>
                <w:b/>
                <w:color w:val="000000"/>
                <w:sz w:val="18"/>
              </w:rPr>
              <w:t>L4: Sensitive Personal Data</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2B13CCC9" w14:textId="77777777" w:rsidR="002E7483" w:rsidRDefault="00000000">
            <w:pPr>
              <w:jc w:val="center"/>
            </w:pPr>
            <w:r>
              <w:rPr>
                <w:rFonts w:ascii="Calibri" w:hAnsi="Calibri"/>
                <w:b/>
                <w:color w:val="9C0006"/>
                <w:sz w:val="18"/>
              </w:rPr>
              <w:t>STRICTLY PROHIBITED in LLM Prompts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A40BB8" w14:textId="77777777" w:rsidR="002E7483" w:rsidRDefault="00000000">
            <w:r>
              <w:rPr>
                <w:rFonts w:ascii="Calibri" w:hAnsi="Calibri"/>
                <w:color w:val="000000"/>
                <w:sz w:val="18"/>
              </w:rPr>
              <w:t xml:space="preserve">Biometric authentication data, medical disclosures, race/religion proxies. Zero L4 attributes permitted in Bedrock </w:t>
            </w:r>
            <w:r>
              <w:rPr>
                <w:rFonts w:ascii="Calibri" w:hAnsi="Calibri"/>
                <w:color w:val="000000"/>
                <w:sz w:val="18"/>
              </w:rPr>
              <w:lastRenderedPageBreak/>
              <w:t>invocation payloads.</w:t>
            </w:r>
          </w:p>
        </w:tc>
      </w:tr>
      <w:tr w:rsidR="002E7483" w14:paraId="48A75C22"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A4E2F3" w14:textId="77777777" w:rsidR="002E7483" w:rsidRDefault="00000000">
            <w:r>
              <w:rPr>
                <w:rFonts w:ascii="Calibri" w:hAnsi="Calibri"/>
                <w:b/>
                <w:color w:val="000000"/>
                <w:sz w:val="18"/>
              </w:rPr>
              <w:lastRenderedPageBreak/>
              <w:t>L5: Highly Restricted Financial</w:t>
            </w:r>
          </w:p>
        </w:tc>
        <w:tc>
          <w:tcPr>
            <w:tcW w:w="3312"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6DA34B3B" w14:textId="77777777" w:rsidR="002E7483" w:rsidRDefault="00000000">
            <w:pPr>
              <w:jc w:val="center"/>
            </w:pPr>
            <w:r>
              <w:rPr>
                <w:rFonts w:ascii="Calibri" w:hAnsi="Calibri"/>
                <w:b/>
                <w:color w:val="000000"/>
                <w:sz w:val="18"/>
              </w:rPr>
              <w:t>Permitted ONLY in Deterministic Scoring Layer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8A1729" w14:textId="77777777" w:rsidR="002E7483" w:rsidRDefault="00000000">
            <w:r>
              <w:rPr>
                <w:rFonts w:ascii="Calibri" w:hAnsi="Calibri"/>
                <w:color w:val="000000"/>
                <w:sz w:val="18"/>
              </w:rPr>
              <w:t>Raw credit bureau scores (Credit Bureau Singapore / ExFin Data) and debt-to-income ratios feed XGBoost (MDL-001) only; never passed to RAG vector corpus.</w:t>
            </w:r>
          </w:p>
        </w:tc>
      </w:tr>
    </w:tbl>
    <w:p w14:paraId="57864ED4" w14:textId="77777777" w:rsidR="002E7483" w:rsidRDefault="002E7483">
      <w:pPr>
        <w:spacing w:after="160"/>
      </w:pPr>
    </w:p>
    <w:p w14:paraId="568B09FC" w14:textId="77777777" w:rsidR="002E7483" w:rsidRDefault="00000000">
      <w:pPr>
        <w:spacing w:after="80"/>
      </w:pPr>
      <w:r>
        <w:rPr>
          <w:rFonts w:ascii="Calibri" w:hAnsi="Calibri"/>
          <w:b/>
          <w:color w:val="1F3864"/>
          <w:sz w:val="24"/>
        </w:rPr>
        <w:t>3.2. Mandatory Operator Human Oversight &amp; Adjudication Standards</w:t>
      </w:r>
    </w:p>
    <w:p w14:paraId="2F0AE2C3" w14:textId="77777777" w:rsidR="002E7483" w:rsidRDefault="00000000">
      <w:pPr>
        <w:spacing w:after="160"/>
      </w:pPr>
      <w:r>
        <w:rPr>
          <w:rFonts w:ascii="Calibri" w:hAnsi="Calibri"/>
          <w:sz w:val="19"/>
        </w:rPr>
        <w:t>To prevent automation bias and comply with EU AI Act Article 14 and MAS FEAT Accountability standards, system operators must enforce the following adjudication rules: (1) Draft Status in All Circumstances: Generated rationales are strictly advisory drafts. No credit decision is valid without an explicit affirmative signature from a credentialed underwriter; (2) 3.5-Minute Review Floor: The underwriter portal enforces a programmatic 3.5-minute time lock per complex application file, preventing rubber-stamping; (3) Mandatory Citation Verification: Underwriters must confirm that cited policy passages substantively support the adverse determination; and (4) Prohibition of Batch Approvals: 'Approve All' and multi-file batch execution capabilities are permanently disabled by user interface design.</w:t>
      </w:r>
    </w:p>
    <w:p w14:paraId="4FAA20FD" w14:textId="77777777" w:rsidR="002E7483" w:rsidRDefault="00000000">
      <w:pPr>
        <w:spacing w:after="80"/>
      </w:pPr>
      <w:r>
        <w:rPr>
          <w:rFonts w:ascii="Calibri" w:hAnsi="Calibri"/>
          <w:b/>
          <w:color w:val="1F3864"/>
          <w:sz w:val="24"/>
        </w:rPr>
        <w:t>3.3. Customer Adverse-Action Disclosures and Attribution</w:t>
      </w:r>
    </w:p>
    <w:p w14:paraId="4CC0750F" w14:textId="77777777" w:rsidR="002E7483" w:rsidRDefault="00000000">
      <w:r>
        <w:rPr>
          <w:rFonts w:ascii="Calibri" w:hAnsi="Calibri"/>
          <w:sz w:val="19"/>
        </w:rPr>
        <w:t>In compliance with EU AI Act Article 13 &amp; 86, GDPR Article 22, and MAS FEAT Transparency: (1) Any adverse-action notice issued to a customer that was drafted with CDA assistance must explicitly notify the individual that AI decision-support was utilized; (2) The notice must state the true mathematical principal drivers (derived from XGBoost TreeSHAP values, not speculative LLM tokens); and (3) The applicant must be provided with clear, accessible instructions on how to contest the determination and obtain independent human re-review under Recourse Procedure A-37.</w:t>
      </w:r>
    </w:p>
    <w:p w14:paraId="0E57908D" w14:textId="77777777" w:rsidR="002E7483" w:rsidRDefault="00000000">
      <w:pPr>
        <w:spacing w:after="80"/>
      </w:pPr>
      <w:r>
        <w:rPr>
          <w:rFonts w:ascii="Calibri" w:hAnsi="Calibri"/>
          <w:b/>
          <w:color w:val="1F3864"/>
          <w:sz w:val="28"/>
        </w:rPr>
        <w:t>4. Prohibited System Operations (What Is Strictly Forbidden)</w:t>
      </w:r>
    </w:p>
    <w:p w14:paraId="50512B5E" w14:textId="77777777" w:rsidR="002E7483" w:rsidRDefault="00000000">
      <w:pPr>
        <w:spacing w:after="80"/>
      </w:pPr>
      <w:r>
        <w:rPr>
          <w:rFonts w:ascii="Calibri" w:hAnsi="Calibri"/>
          <w:sz w:val="20"/>
        </w:rPr>
        <w:t>Stated as absolute prohibitions rather than discretionary guidance, because an architectural prohibition is testable and auditable:</w:t>
      </w:r>
    </w:p>
    <w:p w14:paraId="54F98D30" w14:textId="77777777" w:rsidR="002E7483" w:rsidRDefault="00000000">
      <w:pPr>
        <w:spacing w:after="60"/>
      </w:pPr>
      <w:r>
        <w:rPr>
          <w:rFonts w:ascii="Calibri" w:hAnsi="Calibri"/>
          <w:b/>
          <w:color w:val="9C0006"/>
          <w:sz w:val="19"/>
        </w:rPr>
        <w:t>• Autonomous Decision Execution: Under no circumstance may the system execute a final credit approval, limit reduction, or denial autonomously without individual underwriter review.</w:t>
      </w:r>
    </w:p>
    <w:p w14:paraId="04AA54B1" w14:textId="77777777" w:rsidR="002E7483" w:rsidRDefault="00000000">
      <w:pPr>
        <w:spacing w:after="60"/>
      </w:pPr>
      <w:r>
        <w:rPr>
          <w:rFonts w:ascii="Calibri" w:hAnsi="Calibri"/>
          <w:b/>
          <w:color w:val="9C0006"/>
          <w:sz w:val="19"/>
        </w:rPr>
        <w:t>• Ungoverned Invocations: Invoking the foundation model or scoring endpoint outside the IAM permission boundary layer (e.g., via direct AWS CLI or unvetted scripts), including for testing or debugging, is strictly prohibited except under an approved exception (§5).</w:t>
      </w:r>
    </w:p>
    <w:p w14:paraId="157FAD25" w14:textId="77777777" w:rsidR="002E7483" w:rsidRDefault="00000000">
      <w:pPr>
        <w:spacing w:after="60"/>
      </w:pPr>
      <w:r>
        <w:rPr>
          <w:rFonts w:ascii="Calibri" w:hAnsi="Calibri"/>
          <w:b/>
          <w:color w:val="9C0006"/>
          <w:sz w:val="19"/>
        </w:rPr>
        <w:t>• Ad-Hoc Prompt Augmentation: Underwriters and operators must not manually inject customer data, free-text notes, or credit bureau comments into the prompt template. All inputs must originate from validated core banking data contracts.</w:t>
      </w:r>
    </w:p>
    <w:p w14:paraId="5E2229AC" w14:textId="77777777" w:rsidR="002E7483" w:rsidRDefault="00000000">
      <w:pPr>
        <w:spacing w:after="60"/>
      </w:pPr>
      <w:r>
        <w:rPr>
          <w:rFonts w:ascii="Calibri" w:hAnsi="Calibri"/>
          <w:b/>
          <w:color w:val="9C0006"/>
          <w:sz w:val="19"/>
        </w:rPr>
        <w:t>• Unsanctioned Use Cases: Deploying the CDA system or its underlying Bedrock endpoint for any task outside retail credit decisioning (e.g., commercial loans, HR hiring, debt collection negotiation) is prohibited.</w:t>
      </w:r>
    </w:p>
    <w:p w14:paraId="5FA5A564" w14:textId="77777777" w:rsidR="002E7483" w:rsidRDefault="00000000">
      <w:pPr>
        <w:spacing w:after="60"/>
      </w:pPr>
      <w:r>
        <w:rPr>
          <w:rFonts w:ascii="Calibri" w:hAnsi="Calibri"/>
          <w:b/>
          <w:color w:val="9C0006"/>
          <w:sz w:val="19"/>
        </w:rPr>
        <w:t>• Uncontrolled Prompt / Weight Drift: Modifying system prompt templates, retrieval chunking configurations, temperature parameters, or model weights outside the formal change control procedure in A-40.</w:t>
      </w:r>
    </w:p>
    <w:p w14:paraId="70C6DB78" w14:textId="77777777" w:rsidR="002E7483" w:rsidRDefault="00000000">
      <w:pPr>
        <w:spacing w:after="60"/>
      </w:pPr>
      <w:r>
        <w:rPr>
          <w:rFonts w:ascii="Calibri" w:hAnsi="Calibri"/>
          <w:b/>
          <w:color w:val="9C0006"/>
          <w:sz w:val="19"/>
        </w:rPr>
        <w:t>• Misrepresenting Output as Direct Decision: Presenting the raw LLM output to an applicant as the bank's final legal determination. The decision is the human underwriter's and is communicated as such.</w:t>
      </w:r>
    </w:p>
    <w:p w14:paraId="17DE8B40" w14:textId="77777777" w:rsidR="002E7483" w:rsidRDefault="002E7483">
      <w:pPr>
        <w:spacing w:after="160"/>
      </w:pPr>
    </w:p>
    <w:p w14:paraId="4F90C514" w14:textId="77777777" w:rsidR="002E7483" w:rsidRDefault="00000000">
      <w:pPr>
        <w:spacing w:after="80"/>
      </w:pPr>
      <w:r>
        <w:rPr>
          <w:rFonts w:ascii="Calibri" w:hAnsi="Calibri"/>
          <w:b/>
          <w:color w:val="1F3864"/>
          <w:sz w:val="28"/>
        </w:rPr>
        <w:t>5. The Governed Technical Exception Process</w:t>
      </w:r>
    </w:p>
    <w:p w14:paraId="7FE57E42" w14:textId="77777777" w:rsidR="002E7483" w:rsidRDefault="00000000">
      <w:pPr>
        <w:spacing w:after="120"/>
      </w:pPr>
      <w:r>
        <w:rPr>
          <w:rFonts w:ascii="Calibri" w:hAnsi="Calibri"/>
          <w:sz w:val="20"/>
        </w:rPr>
        <w:lastRenderedPageBreak/>
        <w:t>A formal technical exception process exists deliberately. An absolute prohibition with no legitimate, auditable path around it inevitably leads to un-governed workarounds (shadow scripts), which produce zero audit trails and maximum risk. A governed exception is far safer than an un-governed bypass:</w:t>
      </w:r>
    </w:p>
    <w:tbl>
      <w:tblPr>
        <w:tblW w:w="0" w:type="auto"/>
        <w:jc w:val="center"/>
        <w:tblLook w:val="04A0" w:firstRow="1" w:lastRow="0" w:firstColumn="1" w:lastColumn="0" w:noHBand="0" w:noVBand="1"/>
      </w:tblPr>
      <w:tblGrid>
        <w:gridCol w:w="4968"/>
        <w:gridCol w:w="4968"/>
      </w:tblGrid>
      <w:tr w:rsidR="002E7483" w14:paraId="40018C8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2299CB2" w14:textId="77777777" w:rsidR="002E7483" w:rsidRDefault="00000000">
            <w:r>
              <w:rPr>
                <w:rFonts w:ascii="Calibri" w:hAnsi="Calibri"/>
                <w:b/>
                <w:color w:val="FFFFFF"/>
                <w:sz w:val="19"/>
              </w:rPr>
              <w:t>Exception Governance Requirement</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16D0FBD" w14:textId="77777777" w:rsidR="002E7483" w:rsidRDefault="00000000">
            <w:r>
              <w:rPr>
                <w:rFonts w:ascii="Calibri" w:hAnsi="Calibri"/>
                <w:b/>
                <w:color w:val="FFFFFF"/>
                <w:sz w:val="19"/>
              </w:rPr>
              <w:t>Operational Protocol &amp; Enforcement Detail</w:t>
            </w:r>
          </w:p>
        </w:tc>
      </w:tr>
      <w:tr w:rsidR="002E7483" w14:paraId="0EE615C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67983E5" w14:textId="77777777" w:rsidR="002E7483" w:rsidRDefault="00000000">
            <w:r>
              <w:rPr>
                <w:rFonts w:ascii="Calibri" w:hAnsi="Calibri"/>
                <w:b/>
                <w:color w:val="1F3864"/>
                <w:sz w:val="18"/>
              </w:rPr>
              <w:t>Named Requester &amp; Purpose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C5A209" w14:textId="77777777" w:rsidR="002E7483" w:rsidRDefault="00000000">
            <w:r>
              <w:rPr>
                <w:rFonts w:ascii="Calibri" w:hAnsi="Calibri"/>
                <w:color w:val="000000"/>
                <w:sz w:val="18"/>
              </w:rPr>
              <w:t>Granted only to a named individual engineer or data scientist for a specific technical objective (e.g., offline benchmark testing), never as a standing blanket allowance for a team.</w:t>
            </w:r>
          </w:p>
        </w:tc>
      </w:tr>
      <w:tr w:rsidR="002E7483" w14:paraId="7791B4A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BDF2DD8" w14:textId="77777777" w:rsidR="002E7483" w:rsidRDefault="00000000">
            <w:r>
              <w:rPr>
                <w:rFonts w:ascii="Calibri" w:hAnsi="Calibri"/>
                <w:b/>
                <w:color w:val="1F3864"/>
                <w:sz w:val="18"/>
              </w:rPr>
              <w:t>Strict Scope Limitation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EE7F2D" w14:textId="77777777" w:rsidR="002E7483" w:rsidRDefault="00000000">
            <w:r>
              <w:rPr>
                <w:rFonts w:ascii="Calibri" w:hAnsi="Calibri"/>
                <w:color w:val="000000"/>
                <w:sz w:val="18"/>
              </w:rPr>
              <w:t>Strictly bounded by calendar time (maximum 90 days), data volume, and test environment. Open-ended exceptions are prohibited.</w:t>
            </w:r>
          </w:p>
        </w:tc>
      </w:tr>
      <w:tr w:rsidR="002E7483" w14:paraId="6FE701C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BCCDD5D" w14:textId="77777777" w:rsidR="002E7483" w:rsidRDefault="00000000">
            <w:r>
              <w:rPr>
                <w:rFonts w:ascii="Calibri" w:hAnsi="Calibri"/>
                <w:b/>
                <w:color w:val="1F3864"/>
                <w:sz w:val="18"/>
              </w:rPr>
              <w:t>Dual Approval Thresholds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54F925" w14:textId="77777777" w:rsidR="002E7483" w:rsidRDefault="00000000">
            <w:r>
              <w:rPr>
                <w:rFonts w:ascii="Calibri" w:hAnsi="Calibri"/>
                <w:color w:val="000000"/>
                <w:sz w:val="18"/>
              </w:rPr>
              <w:t>AI Governance Lead approves exceptions involving synthetic or non-production data. AI Governance Committee (AIGC) approval is mandatory if any live customer data is involved.</w:t>
            </w:r>
          </w:p>
        </w:tc>
      </w:tr>
      <w:tr w:rsidR="002E7483" w14:paraId="50388D8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C3BA9D4" w14:textId="77777777" w:rsidR="002E7483" w:rsidRDefault="00000000">
            <w:r>
              <w:rPr>
                <w:rFonts w:ascii="Calibri" w:hAnsi="Calibri"/>
                <w:b/>
                <w:color w:val="1F3864"/>
                <w:sz w:val="18"/>
              </w:rPr>
              <w:t>Mandatory Cryptographic Logging</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EED399" w14:textId="77777777" w:rsidR="002E7483" w:rsidRDefault="00000000">
            <w:r>
              <w:rPr>
                <w:rFonts w:ascii="Calibri" w:hAnsi="Calibri"/>
                <w:color w:val="000000"/>
                <w:sz w:val="18"/>
              </w:rPr>
              <w:t>Every invocation executed under an exception path is logged to the immutable S3 audit vault and tagged with the unique Exception ID (e.g., EXC-003).</w:t>
            </w:r>
          </w:p>
        </w:tc>
      </w:tr>
      <w:tr w:rsidR="002E7483" w14:paraId="6945C7D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499E13D" w14:textId="77777777" w:rsidR="002E7483" w:rsidRDefault="00000000">
            <w:r>
              <w:rPr>
                <w:rFonts w:ascii="Calibri" w:hAnsi="Calibri"/>
                <w:b/>
                <w:color w:val="1F3864"/>
                <w:sz w:val="18"/>
              </w:rPr>
              <w:t>Automated Real-Time Alarm</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62A44C" w14:textId="77777777" w:rsidR="002E7483" w:rsidRDefault="00000000">
            <w:r>
              <w:rPr>
                <w:rFonts w:ascii="Calibri" w:hAnsi="Calibri"/>
                <w:color w:val="000000"/>
                <w:sz w:val="18"/>
              </w:rPr>
              <w:t>Activating the exception execution path triggers an automated notification to the Security Operations / CISO channel. Silent exception execution is prohibited by design.</w:t>
            </w:r>
          </w:p>
        </w:tc>
      </w:tr>
      <w:tr w:rsidR="002E7483" w14:paraId="4FCD10E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5110B01" w14:textId="77777777" w:rsidR="002E7483" w:rsidRDefault="00000000">
            <w:r>
              <w:rPr>
                <w:rFonts w:ascii="Calibri" w:hAnsi="Calibri"/>
                <w:b/>
                <w:color w:val="1F3864"/>
                <w:sz w:val="18"/>
              </w:rPr>
              <w:t>Lapse by Default &amp; Renewal Limit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DFF529" w14:textId="77777777" w:rsidR="002E7483" w:rsidRDefault="00000000">
            <w:r>
              <w:rPr>
                <w:rFonts w:ascii="Calibri" w:hAnsi="Calibri"/>
                <w:color w:val="000000"/>
                <w:sz w:val="18"/>
              </w:rPr>
              <w:t>Exceptions expire automatically. Renewal requires formal re-justification. A third renewal request triggers a mandatory review of whether the control is workable as designed.</w:t>
            </w:r>
          </w:p>
        </w:tc>
      </w:tr>
    </w:tbl>
    <w:p w14:paraId="090DE35B" w14:textId="77777777" w:rsidR="002E7483" w:rsidRDefault="002E7483"/>
    <w:p w14:paraId="74D7DC71" w14:textId="77777777" w:rsidR="002E7483" w:rsidRDefault="00000000">
      <w:pPr>
        <w:spacing w:after="80"/>
      </w:pPr>
      <w:r>
        <w:rPr>
          <w:rFonts w:ascii="Calibri" w:hAnsi="Calibri"/>
          <w:b/>
          <w:color w:val="1F3864"/>
          <w:sz w:val="28"/>
        </w:rPr>
        <w:t>6. Compliance Monitoring, Breach Escalation &amp; 24-Hour SLA</w:t>
      </w:r>
    </w:p>
    <w:p w14:paraId="1830D8B5" w14:textId="77777777" w:rsidR="002E7483" w:rsidRDefault="00000000">
      <w:pPr>
        <w:spacing w:after="80"/>
      </w:pPr>
      <w:r>
        <w:rPr>
          <w:rFonts w:ascii="Calibri" w:hAnsi="Calibri"/>
          <w:sz w:val="20"/>
        </w:rPr>
        <w:t>Adherence to this Policy is enforced continuously via automated AWS CloudWatch metric alarms and IAM policy evaluation. Non-compliance triggers immediate technical containment and executive escalation:</w:t>
      </w:r>
    </w:p>
    <w:p w14:paraId="24F662C2" w14:textId="77777777" w:rsidR="002E7483" w:rsidRDefault="00000000">
      <w:pPr>
        <w:spacing w:after="40"/>
      </w:pPr>
      <w:r>
        <w:rPr>
          <w:rFonts w:ascii="Calibri" w:hAnsi="Calibri"/>
          <w:b/>
          <w:color w:val="9C0006"/>
        </w:rPr>
        <w:t>6.1. 24-Hour Production Breach Notification SLA</w:t>
      </w:r>
    </w:p>
    <w:p w14:paraId="1B377F80" w14:textId="77777777" w:rsidR="002E7483" w:rsidRDefault="00000000">
      <w:pPr>
        <w:spacing w:after="80"/>
      </w:pPr>
      <w:r>
        <w:rPr>
          <w:rFonts w:ascii="Calibri" w:hAnsi="Calibri"/>
          <w:sz w:val="19"/>
        </w:rPr>
        <w:t>Any confirmed or suspected operational breach of this policy—specifically including: (a) any model invocation traversing an un-guardrailed path, (b) confirmed personal data exposure in rationales, (c) successful prompt injection bypass, or (d) hallucinated legal citations reaching an applicant—must be reported to the CISO, Data Protection Officer, and AI Governance Lead within 24 hours of discovery under Incident Playbook A-32. Where a breach involves customer data, the system is suspended instantaneously via the IAM kill switch (A-34).</w:t>
      </w:r>
    </w:p>
    <w:p w14:paraId="3B230EDE" w14:textId="77777777" w:rsidR="002E7483" w:rsidRDefault="00000000">
      <w:pPr>
        <w:spacing w:after="40"/>
      </w:pPr>
      <w:r>
        <w:rPr>
          <w:rFonts w:ascii="Calibri" w:hAnsi="Calibri"/>
          <w:b/>
          <w:color w:val="1F3864"/>
        </w:rPr>
        <w:t>6.2. Conduct Framework and Disciplinary Sanctions</w:t>
      </w:r>
    </w:p>
    <w:p w14:paraId="4AFE2B6C" w14:textId="77777777" w:rsidR="002E7483" w:rsidRDefault="00000000">
      <w:r>
        <w:rPr>
          <w:rFonts w:ascii="Calibri" w:hAnsi="Calibri"/>
          <w:sz w:val="19"/>
        </w:rPr>
        <w:t xml:space="preserve">Deliberate attempts to bypass the IAM enforcement layer, disabling of safety guardrails, or unauthorized routing of live customer data constitutes gross professional misconduct under the bank's Conduct Framework, resulting in immediate </w:t>
      </w:r>
      <w:r>
        <w:rPr>
          <w:rFonts w:ascii="Calibri" w:hAnsi="Calibri"/>
          <w:sz w:val="19"/>
        </w:rPr>
        <w:lastRenderedPageBreak/>
        <w:t>revocation of system access, formal disciplinary proceedings up to and including termination of employment, and potential regulatory reporting.</w:t>
      </w:r>
    </w:p>
    <w:p w14:paraId="13D4A0BC" w14:textId="77777777" w:rsidR="002E7483" w:rsidRDefault="00000000">
      <w:pPr>
        <w:spacing w:after="80"/>
      </w:pPr>
      <w:r>
        <w:rPr>
          <w:rFonts w:ascii="Calibri" w:hAnsi="Calibri"/>
          <w:b/>
          <w:color w:val="1F3864"/>
          <w:sz w:val="28"/>
        </w:rPr>
        <w:t>7. Review Cadence and Policy Ratification</w:t>
      </w:r>
    </w:p>
    <w:p w14:paraId="5F26FF3F" w14:textId="77777777" w:rsidR="002E7483" w:rsidRDefault="00000000">
      <w:pPr>
        <w:spacing w:after="240"/>
      </w:pPr>
      <w:r>
        <w:rPr>
          <w:rFonts w:ascii="Calibri" w:hAnsi="Calibri"/>
          <w:sz w:val="20"/>
        </w:rPr>
        <w:t>This Policy is subject to formal review annually, and immediately upon: (a) any change in the cloud foundation model provider or hosting infrastructure (AWS Bedrock), (b) any modification to the mandatory control set (GDR-01 to GDR-06), (c) resolution or technical availability of the GDR-06 verifier in Singapore (R-12 review), or (d) material regulatory updates to the EU AI Act or MAS TRM guidelines. Amendments require approval by the AI Governance Committee with formal ratification by the Executive Committee (ExCo).</w:t>
      </w:r>
    </w:p>
    <w:sectPr w:rsidR="002E748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92633">
    <w:abstractNumId w:val="8"/>
  </w:num>
  <w:num w:numId="2" w16cid:durableId="888684038">
    <w:abstractNumId w:val="6"/>
  </w:num>
  <w:num w:numId="3" w16cid:durableId="192114099">
    <w:abstractNumId w:val="5"/>
  </w:num>
  <w:num w:numId="4" w16cid:durableId="1083187045">
    <w:abstractNumId w:val="4"/>
  </w:num>
  <w:num w:numId="5" w16cid:durableId="989866205">
    <w:abstractNumId w:val="7"/>
  </w:num>
  <w:num w:numId="6" w16cid:durableId="1892569936">
    <w:abstractNumId w:val="3"/>
  </w:num>
  <w:num w:numId="7" w16cid:durableId="1301694367">
    <w:abstractNumId w:val="2"/>
  </w:num>
  <w:num w:numId="8" w16cid:durableId="2003853449">
    <w:abstractNumId w:val="1"/>
  </w:num>
  <w:num w:numId="9" w16cid:durableId="163008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483"/>
    <w:rsid w:val="00326F90"/>
    <w:rsid w:val="004F75D5"/>
    <w:rsid w:val="007C1E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841E7"/>
  <w14:defaultImageDpi w14:val="300"/>
  <w15:docId w15:val="{357565A2-57D4-4630-9E26-EB2E45A6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3</cp:revision>
  <dcterms:created xsi:type="dcterms:W3CDTF">2013-12-23T23:15:00Z</dcterms:created>
  <dcterms:modified xsi:type="dcterms:W3CDTF">2026-09-14T14:55:00Z</dcterms:modified>
  <cp:category/>
</cp:coreProperties>
</file>