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17444" w14:textId="77777777" w:rsidR="003C36EF" w:rsidRDefault="00000000">
      <w:pPr>
        <w:spacing w:after="40"/>
      </w:pPr>
      <w:r>
        <w:rPr>
          <w:rFonts w:ascii="Calibri" w:hAnsi="Calibri"/>
          <w:b/>
          <w:color w:val="1F3864"/>
          <w:sz w:val="40"/>
        </w:rPr>
        <w:t>AI Governance Policy (Apex Policy)</w:t>
      </w:r>
    </w:p>
    <w:p w14:paraId="48565B33" w14:textId="77777777" w:rsidR="003C36EF" w:rsidRDefault="00000000">
      <w:pPr>
        <w:spacing w:after="240"/>
      </w:pPr>
      <w:r>
        <w:rPr>
          <w:rFonts w:ascii="Calibri" w:hAnsi="Calibri"/>
          <w:i/>
          <w:color w:val="595959"/>
          <w:sz w:val="23"/>
        </w:rPr>
        <w:t>Enterprise AI Governance Framework — Artefact A-23, v2.1</w:t>
      </w:r>
    </w:p>
    <w:tbl>
      <w:tblPr>
        <w:tblW w:w="0" w:type="auto"/>
        <w:jc w:val="center"/>
        <w:tblLook w:val="04A0" w:firstRow="1" w:lastRow="0" w:firstColumn="1" w:lastColumn="0" w:noHBand="0" w:noVBand="1"/>
      </w:tblPr>
      <w:tblGrid>
        <w:gridCol w:w="4968"/>
        <w:gridCol w:w="4968"/>
      </w:tblGrid>
      <w:tr w:rsidR="003C36EF" w14:paraId="10BADF0F"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33F58F2A" w14:textId="77777777" w:rsidR="003C36EF" w:rsidRDefault="00000000">
            <w:r>
              <w:rPr>
                <w:rFonts w:ascii="Calibri" w:hAnsi="Calibri"/>
                <w:b/>
                <w:color w:val="FFFFFF"/>
                <w:sz w:val="20"/>
              </w:rPr>
              <w:t>Field</w:t>
            </w:r>
          </w:p>
        </w:tc>
        <w:tc>
          <w:tcPr>
            <w:tcW w:w="4968"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6E821DB7" w14:textId="77777777" w:rsidR="003C36EF" w:rsidRDefault="00000000">
            <w:r>
              <w:rPr>
                <w:rFonts w:ascii="Calibri" w:hAnsi="Calibri"/>
                <w:b/>
                <w:color w:val="FFFFFF"/>
                <w:sz w:val="20"/>
              </w:rPr>
              <w:t>Detail</w:t>
            </w:r>
          </w:p>
        </w:tc>
      </w:tr>
      <w:tr w:rsidR="003C36EF" w14:paraId="77418CAC"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6C0BF360" w14:textId="77777777" w:rsidR="003C36EF" w:rsidRDefault="00000000">
            <w:r>
              <w:rPr>
                <w:rFonts w:ascii="Calibri" w:hAnsi="Calibri"/>
                <w:b/>
                <w:color w:val="1F3864"/>
                <w:sz w:val="19"/>
              </w:rPr>
              <w:t>Artefact ID</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1849B2B" w14:textId="77777777" w:rsidR="003C36EF" w:rsidRDefault="00000000">
            <w:r>
              <w:rPr>
                <w:rFonts w:ascii="Calibri" w:hAnsi="Calibri"/>
                <w:color w:val="000000"/>
                <w:sz w:val="19"/>
              </w:rPr>
              <w:t>A-23</w:t>
            </w:r>
          </w:p>
        </w:tc>
      </w:tr>
      <w:tr w:rsidR="003C36EF" w14:paraId="638F8A56"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28BE8A56" w14:textId="77777777" w:rsidR="003C36EF" w:rsidRDefault="00000000">
            <w:r>
              <w:rPr>
                <w:rFonts w:ascii="Calibri" w:hAnsi="Calibri"/>
                <w:b/>
                <w:color w:val="1F3864"/>
                <w:sz w:val="19"/>
              </w:rPr>
              <w:t>Title</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0CDD5CB" w14:textId="77777777" w:rsidR="003C36EF" w:rsidRDefault="00000000">
            <w:r>
              <w:rPr>
                <w:rFonts w:ascii="Calibri" w:hAnsi="Calibri"/>
                <w:color w:val="000000"/>
                <w:sz w:val="19"/>
              </w:rPr>
              <w:t>AI Governance Policy — Apex Policy</w:t>
            </w:r>
          </w:p>
        </w:tc>
      </w:tr>
      <w:tr w:rsidR="003C36EF" w14:paraId="7C609015"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14BAEAEC" w14:textId="77777777" w:rsidR="003C36EF" w:rsidRDefault="00000000">
            <w:r>
              <w:rPr>
                <w:rFonts w:ascii="Calibri" w:hAnsi="Calibri"/>
                <w:b/>
                <w:color w:val="1F3864"/>
                <w:sz w:val="19"/>
              </w:rPr>
              <w:t>System Governed</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1D325DE" w14:textId="77777777" w:rsidR="003C36EF" w:rsidRDefault="00000000">
            <w:r>
              <w:rPr>
                <w:rFonts w:ascii="Calibri" w:hAnsi="Calibri"/>
                <w:color w:val="000000"/>
                <w:sz w:val="19"/>
              </w:rPr>
              <w:t>Credit Decisioning Assistant (CDA) — hybrid deterministic XGBoost scoring + AWS Bedrock (Claude) RAG narration supporting retail credit decisions (~870,000 annual applicants)</w:t>
            </w:r>
          </w:p>
        </w:tc>
      </w:tr>
      <w:tr w:rsidR="003C36EF" w14:paraId="6E98F267"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1F847F0D" w14:textId="77777777" w:rsidR="003C36EF" w:rsidRDefault="00000000">
            <w:r>
              <w:rPr>
                <w:rFonts w:ascii="Calibri" w:hAnsi="Calibri"/>
                <w:b/>
                <w:color w:val="1F3864"/>
                <w:sz w:val="19"/>
              </w:rPr>
              <w:t>Document Owner</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90ACE4B" w14:textId="77777777" w:rsidR="003C36EF" w:rsidRDefault="00000000">
            <w:r>
              <w:rPr>
                <w:rFonts w:ascii="Calibri" w:hAnsi="Calibri"/>
                <w:color w:val="000000"/>
                <w:sz w:val="19"/>
              </w:rPr>
              <w:t>Chief Risk Officer (CRO)</w:t>
            </w:r>
          </w:p>
        </w:tc>
      </w:tr>
      <w:tr w:rsidR="003C36EF" w14:paraId="53B22B5F"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7C984D7B" w14:textId="77777777" w:rsidR="003C36EF" w:rsidRDefault="00000000">
            <w:r>
              <w:rPr>
                <w:rFonts w:ascii="Calibri" w:hAnsi="Calibri"/>
                <w:b/>
                <w:color w:val="1F3864"/>
                <w:sz w:val="19"/>
              </w:rPr>
              <w:t>Approving Authority</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9E14F75" w14:textId="77777777" w:rsidR="003C36EF" w:rsidRDefault="00000000">
            <w:r>
              <w:rPr>
                <w:rFonts w:ascii="Calibri" w:hAnsi="Calibri"/>
                <w:color w:val="000000"/>
                <w:sz w:val="19"/>
              </w:rPr>
              <w:t>Board of Directors, on AI Governance Committee (AIGC) recommendation</w:t>
            </w:r>
          </w:p>
        </w:tc>
      </w:tr>
      <w:tr w:rsidR="003C36EF" w14:paraId="08C6EBD4"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7536BCB1" w14:textId="77777777" w:rsidR="003C36EF" w:rsidRDefault="00000000">
            <w:r>
              <w:rPr>
                <w:rFonts w:ascii="Calibri" w:hAnsi="Calibri"/>
                <w:b/>
                <w:color w:val="1F3864"/>
                <w:sz w:val="19"/>
              </w:rPr>
              <w:t>Classification</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FF1C2B1" w14:textId="77777777" w:rsidR="003C36EF" w:rsidRDefault="00000000">
            <w:r>
              <w:rPr>
                <w:rFonts w:ascii="Calibri" w:hAnsi="Calibri"/>
                <w:color w:val="000000"/>
                <w:sz w:val="19"/>
              </w:rPr>
              <w:t>Internal — Enterprise Apex Policy (Tier 1 High-Risk Governance Estate)</w:t>
            </w:r>
          </w:p>
        </w:tc>
      </w:tr>
      <w:tr w:rsidR="003C36EF" w14:paraId="62818E28"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5251CA3A" w14:textId="77777777" w:rsidR="003C36EF" w:rsidRDefault="00000000">
            <w:r>
              <w:rPr>
                <w:rFonts w:ascii="Calibri" w:hAnsi="Calibri"/>
                <w:b/>
                <w:color w:val="1F3864"/>
                <w:sz w:val="19"/>
              </w:rPr>
              <w:t>Regulatory Basis</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6C80556" w14:textId="77777777" w:rsidR="003C36EF" w:rsidRDefault="00000000">
            <w:r>
              <w:rPr>
                <w:rFonts w:ascii="Calibri" w:hAnsi="Calibri"/>
                <w:color w:val="000000"/>
                <w:sz w:val="19"/>
              </w:rPr>
              <w:t>EU AI Act Art. 9 &amp; Art. 26; ISO/IEC 42001 Cl. 5 (Leadership) &amp; Cl. 6; NIST AI RMF GOVERN; MAS FEAT Accountability; MAS TRM Ch. 3</w:t>
            </w:r>
          </w:p>
        </w:tc>
      </w:tr>
      <w:tr w:rsidR="003C36EF" w14:paraId="1450BA37"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1F376D2C" w14:textId="77777777" w:rsidR="003C36EF" w:rsidRDefault="00000000">
            <w:r>
              <w:rPr>
                <w:rFonts w:ascii="Calibri" w:hAnsi="Calibri"/>
                <w:b/>
                <w:color w:val="1F3864"/>
                <w:sz w:val="19"/>
              </w:rPr>
              <w:t>Review Cycle</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C640641" w14:textId="77777777" w:rsidR="003C36EF" w:rsidRDefault="00000000">
            <w:r>
              <w:rPr>
                <w:rFonts w:ascii="Calibri" w:hAnsi="Calibri"/>
                <w:color w:val="000000"/>
                <w:sz w:val="19"/>
              </w:rPr>
              <w:t>Annual, or immediately upon any material regulatory change or Level 4 threshold breach in Post-Deployment Monitoring Policy (A-30) §5</w:t>
            </w:r>
          </w:p>
        </w:tc>
      </w:tr>
      <w:tr w:rsidR="003C36EF" w14:paraId="15E8B887"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78049835" w14:textId="77777777" w:rsidR="003C36EF" w:rsidRDefault="00000000">
            <w:r>
              <w:rPr>
                <w:rFonts w:ascii="Calibri" w:hAnsi="Calibri"/>
                <w:b/>
                <w:color w:val="1F3864"/>
                <w:sz w:val="19"/>
              </w:rPr>
              <w:t>Nature of Document</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3502D5A" w14:textId="77777777" w:rsidR="003C36EF" w:rsidRDefault="00000000">
            <w:r>
              <w:rPr>
                <w:rFonts w:ascii="Calibri" w:hAnsi="Calibri"/>
                <w:color w:val="000000"/>
                <w:sz w:val="19"/>
              </w:rPr>
              <w:t>Governance design artefact produced as part of a worked portfolio example. Figures, dates, and named decisions demonstrate apex institutional policy enforcement behavior and are internally consistent with Artifacts A-01 through A-44.</w:t>
            </w:r>
          </w:p>
        </w:tc>
      </w:tr>
    </w:tbl>
    <w:p w14:paraId="1BFBDCED" w14:textId="77777777" w:rsidR="003C36EF" w:rsidRDefault="003C36EF">
      <w:pPr>
        <w:spacing w:after="160"/>
      </w:pPr>
    </w:p>
    <w:p w14:paraId="28572752" w14:textId="77777777" w:rsidR="003C36EF" w:rsidRDefault="00000000">
      <w:pPr>
        <w:spacing w:after="80"/>
      </w:pPr>
      <w:r>
        <w:rPr>
          <w:rFonts w:ascii="Calibri" w:hAnsi="Calibri"/>
          <w:b/>
          <w:color w:val="1F3864"/>
          <w:sz w:val="26"/>
        </w:rPr>
        <w:t>Document Control &amp; Version History</w:t>
      </w:r>
    </w:p>
    <w:tbl>
      <w:tblPr>
        <w:tblW w:w="0" w:type="auto"/>
        <w:jc w:val="center"/>
        <w:tblLook w:val="04A0" w:firstRow="1" w:lastRow="0" w:firstColumn="1" w:lastColumn="0" w:noHBand="0" w:noVBand="1"/>
      </w:tblPr>
      <w:tblGrid>
        <w:gridCol w:w="1419"/>
        <w:gridCol w:w="1419"/>
        <w:gridCol w:w="1419"/>
        <w:gridCol w:w="1419"/>
        <w:gridCol w:w="1419"/>
        <w:gridCol w:w="1419"/>
        <w:gridCol w:w="1419"/>
      </w:tblGrid>
      <w:tr w:rsidR="003C36EF" w14:paraId="401C0DC4" w14:textId="77777777">
        <w:trPr>
          <w:jc w:val="center"/>
        </w:trPr>
        <w:tc>
          <w:tcPr>
            <w:tcW w:w="1419"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328C499C" w14:textId="77777777" w:rsidR="003C36EF" w:rsidRDefault="00000000">
            <w:pPr>
              <w:jc w:val="center"/>
            </w:pPr>
            <w:r>
              <w:rPr>
                <w:rFonts w:ascii="Calibri" w:hAnsi="Calibri"/>
                <w:b/>
                <w:color w:val="FFFFFF"/>
                <w:sz w:val="19"/>
              </w:rPr>
              <w:t>Version</w:t>
            </w:r>
          </w:p>
        </w:tc>
        <w:tc>
          <w:tcPr>
            <w:tcW w:w="1419"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4AF0B0D3" w14:textId="77777777" w:rsidR="003C36EF" w:rsidRDefault="00000000">
            <w:pPr>
              <w:jc w:val="center"/>
            </w:pPr>
            <w:r>
              <w:rPr>
                <w:rFonts w:ascii="Calibri" w:hAnsi="Calibri"/>
                <w:b/>
                <w:color w:val="FFFFFF"/>
                <w:sz w:val="19"/>
              </w:rPr>
              <w:t>Date</w:t>
            </w:r>
          </w:p>
        </w:tc>
        <w:tc>
          <w:tcPr>
            <w:tcW w:w="1419"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0EBC6F9D" w14:textId="77777777" w:rsidR="003C36EF" w:rsidRDefault="00000000">
            <w:pPr>
              <w:jc w:val="center"/>
            </w:pPr>
            <w:r>
              <w:rPr>
                <w:rFonts w:ascii="Calibri" w:hAnsi="Calibri"/>
                <w:b/>
                <w:color w:val="FFFFFF"/>
                <w:sz w:val="19"/>
              </w:rPr>
              <w:t>Author</w:t>
            </w:r>
          </w:p>
        </w:tc>
        <w:tc>
          <w:tcPr>
            <w:tcW w:w="1419"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6E128F28" w14:textId="77777777" w:rsidR="003C36EF" w:rsidRDefault="00000000">
            <w:pPr>
              <w:jc w:val="center"/>
            </w:pPr>
            <w:r>
              <w:rPr>
                <w:rFonts w:ascii="Calibri" w:hAnsi="Calibri"/>
                <w:b/>
                <w:color w:val="FFFFFF"/>
                <w:sz w:val="19"/>
              </w:rPr>
              <w:t>Reviewer</w:t>
            </w:r>
          </w:p>
        </w:tc>
        <w:tc>
          <w:tcPr>
            <w:tcW w:w="1419"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590AE96A" w14:textId="77777777" w:rsidR="003C36EF" w:rsidRDefault="00000000">
            <w:pPr>
              <w:jc w:val="center"/>
            </w:pPr>
            <w:r>
              <w:rPr>
                <w:rFonts w:ascii="Calibri" w:hAnsi="Calibri"/>
                <w:b/>
                <w:color w:val="FFFFFF"/>
                <w:sz w:val="19"/>
              </w:rPr>
              <w:t>Approver</w:t>
            </w:r>
          </w:p>
        </w:tc>
        <w:tc>
          <w:tcPr>
            <w:tcW w:w="1419"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12A97954" w14:textId="77777777" w:rsidR="003C36EF" w:rsidRDefault="00000000">
            <w:pPr>
              <w:jc w:val="center"/>
            </w:pPr>
            <w:r>
              <w:rPr>
                <w:rFonts w:ascii="Calibri" w:hAnsi="Calibri"/>
                <w:b/>
                <w:color w:val="FFFFFF"/>
                <w:sz w:val="19"/>
              </w:rPr>
              <w:t>Status</w:t>
            </w:r>
          </w:p>
        </w:tc>
        <w:tc>
          <w:tcPr>
            <w:tcW w:w="1419"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0AA03BA0" w14:textId="77777777" w:rsidR="003C36EF" w:rsidRDefault="00000000">
            <w:pPr>
              <w:jc w:val="center"/>
            </w:pPr>
            <w:r>
              <w:rPr>
                <w:rFonts w:ascii="Calibri" w:hAnsi="Calibri"/>
                <w:b/>
                <w:color w:val="FFFFFF"/>
                <w:sz w:val="19"/>
              </w:rPr>
              <w:t xml:space="preserve">Change </w:t>
            </w:r>
            <w:r>
              <w:rPr>
                <w:rFonts w:ascii="Calibri" w:hAnsi="Calibri"/>
                <w:b/>
                <w:color w:val="FFFFFF"/>
                <w:sz w:val="19"/>
              </w:rPr>
              <w:lastRenderedPageBreak/>
              <w:t>Summary</w:t>
            </w:r>
          </w:p>
        </w:tc>
      </w:tr>
      <w:tr w:rsidR="003C36EF" w14:paraId="215977D4" w14:textId="77777777">
        <w:trPr>
          <w:jc w:val="center"/>
        </w:trPr>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F48EB3A" w14:textId="77777777" w:rsidR="003C36EF" w:rsidRDefault="00000000">
            <w:pPr>
              <w:jc w:val="center"/>
            </w:pPr>
            <w:r>
              <w:rPr>
                <w:rFonts w:ascii="Calibri" w:hAnsi="Calibri"/>
                <w:b/>
                <w:color w:val="000000"/>
                <w:sz w:val="18"/>
              </w:rPr>
              <w:lastRenderedPageBreak/>
              <w:t>v1.0</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B74CD6F" w14:textId="77777777" w:rsidR="003C36EF" w:rsidRDefault="00000000">
            <w:pPr>
              <w:jc w:val="center"/>
            </w:pPr>
            <w:r>
              <w:rPr>
                <w:rFonts w:ascii="Calibri" w:hAnsi="Calibri"/>
                <w:color w:val="000000"/>
                <w:sz w:val="18"/>
              </w:rPr>
              <w:t>2026-01-10</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AFA1276" w14:textId="77777777" w:rsidR="003C36EF" w:rsidRDefault="00000000">
            <w:r>
              <w:rPr>
                <w:rFonts w:ascii="Calibri" w:hAnsi="Calibri"/>
                <w:color w:val="000000"/>
                <w:sz w:val="18"/>
              </w:rPr>
              <w:t>AI Governance Lead</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6A30B83" w14:textId="77777777" w:rsidR="003C36EF" w:rsidRDefault="00000000">
            <w:r>
              <w:rPr>
                <w:rFonts w:ascii="Calibri" w:hAnsi="Calibri"/>
                <w:color w:val="000000"/>
                <w:sz w:val="18"/>
              </w:rPr>
              <w:t>—</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7FD87D7" w14:textId="77777777" w:rsidR="003C36EF" w:rsidRDefault="00000000">
            <w:r>
              <w:rPr>
                <w:rFonts w:ascii="Calibri" w:hAnsi="Calibri"/>
                <w:color w:val="000000"/>
                <w:sz w:val="18"/>
              </w:rPr>
              <w:t>AI Governance Committee</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45128A3" w14:textId="77777777" w:rsidR="003C36EF" w:rsidRDefault="00000000">
            <w:pPr>
              <w:jc w:val="center"/>
            </w:pPr>
            <w:r>
              <w:rPr>
                <w:rFonts w:ascii="Calibri" w:hAnsi="Calibri"/>
                <w:color w:val="000000"/>
                <w:sz w:val="18"/>
              </w:rPr>
              <w:t>Superseded</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890AD69" w14:textId="77777777" w:rsidR="003C36EF" w:rsidRDefault="00000000">
            <w:r>
              <w:rPr>
                <w:rFonts w:ascii="Calibri" w:hAnsi="Calibri"/>
                <w:color w:val="000000"/>
                <w:sz w:val="18"/>
              </w:rPr>
              <w:t>Initial apex policy.</w:t>
            </w:r>
          </w:p>
        </w:tc>
      </w:tr>
      <w:tr w:rsidR="003C36EF" w14:paraId="0928821D" w14:textId="77777777">
        <w:trPr>
          <w:jc w:val="center"/>
        </w:trPr>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056BBF6" w14:textId="77777777" w:rsidR="003C36EF" w:rsidRDefault="00000000">
            <w:pPr>
              <w:jc w:val="center"/>
            </w:pPr>
            <w:r>
              <w:rPr>
                <w:rFonts w:ascii="Calibri" w:hAnsi="Calibri"/>
                <w:b/>
                <w:color w:val="000000"/>
                <w:sz w:val="18"/>
              </w:rPr>
              <w:t>v2.0</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A758BD6" w14:textId="77777777" w:rsidR="003C36EF" w:rsidRDefault="00000000">
            <w:pPr>
              <w:jc w:val="center"/>
            </w:pPr>
            <w:r>
              <w:rPr>
                <w:rFonts w:ascii="Calibri" w:hAnsi="Calibri"/>
                <w:color w:val="000000"/>
                <w:sz w:val="18"/>
              </w:rPr>
              <w:t>2026-09-10</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A823E74" w14:textId="77777777" w:rsidR="003C36EF" w:rsidRDefault="00000000">
            <w:r>
              <w:rPr>
                <w:rFonts w:ascii="Calibri" w:hAnsi="Calibri"/>
                <w:color w:val="000000"/>
                <w:sz w:val="18"/>
              </w:rPr>
              <w:t>AI Governance Lead</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1A2A257" w14:textId="77777777" w:rsidR="003C36EF" w:rsidRDefault="00000000">
            <w:r>
              <w:rPr>
                <w:rFonts w:ascii="Calibri" w:hAnsi="Calibri"/>
                <w:color w:val="000000"/>
                <w:sz w:val="18"/>
              </w:rPr>
              <w:t>Risk; Compliance; Legal</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73ACA7C" w14:textId="77777777" w:rsidR="003C36EF" w:rsidRDefault="00000000">
            <w:r>
              <w:rPr>
                <w:rFonts w:ascii="Calibri" w:hAnsi="Calibri"/>
                <w:color w:val="000000"/>
                <w:sz w:val="18"/>
              </w:rPr>
              <w:t>AI Governance Committee</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576B995" w14:textId="77777777" w:rsidR="003C36EF" w:rsidRDefault="00000000">
            <w:pPr>
              <w:jc w:val="center"/>
            </w:pPr>
            <w:r>
              <w:rPr>
                <w:rFonts w:ascii="Calibri" w:hAnsi="Calibri"/>
                <w:color w:val="000000"/>
                <w:sz w:val="18"/>
              </w:rPr>
              <w:t>Superseded</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6BA6E5C" w14:textId="77777777" w:rsidR="003C36EF" w:rsidRDefault="00000000">
            <w:r>
              <w:rPr>
                <w:rFonts w:ascii="Calibri" w:hAnsi="Calibri"/>
                <w:color w:val="000000"/>
                <w:sz w:val="18"/>
              </w:rPr>
              <w:t>Positioned as apex policy with explicit hierarchy statement. External template references scrubbed and verified.</w:t>
            </w:r>
          </w:p>
        </w:tc>
      </w:tr>
    </w:tbl>
    <w:p w14:paraId="197B9548" w14:textId="77777777" w:rsidR="003C36EF" w:rsidRDefault="003C36EF"/>
    <w:p w14:paraId="351A9C3C" w14:textId="77777777" w:rsidR="003C36EF" w:rsidRDefault="00000000">
      <w:pPr>
        <w:spacing w:after="80"/>
      </w:pPr>
      <w:r>
        <w:rPr>
          <w:rFonts w:ascii="Calibri" w:hAnsi="Calibri"/>
          <w:b/>
          <w:color w:val="1F3864"/>
          <w:sz w:val="28"/>
        </w:rPr>
        <w:t>1. Purpose and Constitutional Authority</w:t>
      </w:r>
    </w:p>
    <w:p w14:paraId="58E882A9" w14:textId="77777777" w:rsidR="003C36EF" w:rsidRDefault="00000000">
      <w:pPr>
        <w:spacing w:after="80"/>
      </w:pPr>
      <w:r>
        <w:rPr>
          <w:rFonts w:ascii="Calibri" w:hAnsi="Calibri"/>
          <w:sz w:val="20"/>
        </w:rPr>
        <w:t>This is the apex AI policy of the organisation. Every other AI policy, operating standard, technical procedure, charter, and registry across the 44-artefact estate sits beneath it and is legally subordinate to it. Where an operational procedure or technical guideline conflicts with this policy, this policy strictly prevails and the subordinate document must be remediated.</w:t>
      </w:r>
    </w:p>
    <w:p w14:paraId="6AE97791" w14:textId="77777777" w:rsidR="003C36EF" w:rsidRDefault="00000000">
      <w:pPr>
        <w:spacing w:after="160"/>
      </w:pPr>
      <w:r>
        <w:rPr>
          <w:rFonts w:ascii="Calibri" w:hAnsi="Calibri"/>
          <w:sz w:val="20"/>
        </w:rPr>
        <w:t>This policy is approved by the Board of Directors upon formal recommendation by the AI Governance Committee (AIGC). That level of approval is foundational: this policy legally commits the bank to decline or decommission any AI use case it cannot govern, audit, or explain — a binding institutional commitment that only the Board can authorize on the bank's behalf.</w:t>
      </w:r>
    </w:p>
    <w:p w14:paraId="199CDE47" w14:textId="77777777" w:rsidR="003C36EF" w:rsidRDefault="00000000">
      <w:pPr>
        <w:spacing w:after="80"/>
      </w:pPr>
      <w:r>
        <w:rPr>
          <w:rFonts w:ascii="Calibri" w:hAnsi="Calibri"/>
          <w:b/>
          <w:color w:val="1F3864"/>
          <w:sz w:val="28"/>
        </w:rPr>
        <w:t>2. Enterprise AI Policy Hierarchy</w:t>
      </w:r>
    </w:p>
    <w:p w14:paraId="32081326" w14:textId="77777777" w:rsidR="003C36EF" w:rsidRDefault="00000000">
      <w:pPr>
        <w:spacing w:after="120"/>
      </w:pPr>
      <w:r>
        <w:rPr>
          <w:rFonts w:ascii="Calibri" w:hAnsi="Calibri"/>
          <w:sz w:val="20"/>
        </w:rPr>
        <w:t>Codified explicitly to eliminate policy ambiguity and ensure absolute operational clarity across all Three Lines of Defense:</w:t>
      </w:r>
    </w:p>
    <w:tbl>
      <w:tblPr>
        <w:tblW w:w="0" w:type="auto"/>
        <w:jc w:val="center"/>
        <w:tblLook w:val="04A0" w:firstRow="1" w:lastRow="0" w:firstColumn="1" w:lastColumn="0" w:noHBand="0" w:noVBand="1"/>
      </w:tblPr>
      <w:tblGrid>
        <w:gridCol w:w="3312"/>
        <w:gridCol w:w="3312"/>
        <w:gridCol w:w="3312"/>
      </w:tblGrid>
      <w:tr w:rsidR="003C36EF" w14:paraId="02595EA7" w14:textId="77777777">
        <w:trPr>
          <w:jc w:val="center"/>
        </w:trPr>
        <w:tc>
          <w:tcPr>
            <w:tcW w:w="3312"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7AD36BF9" w14:textId="77777777" w:rsidR="003C36EF" w:rsidRDefault="00000000">
            <w:pPr>
              <w:jc w:val="center"/>
            </w:pPr>
            <w:r>
              <w:rPr>
                <w:rFonts w:ascii="Calibri" w:hAnsi="Calibri"/>
                <w:b/>
                <w:color w:val="FFFFFF"/>
                <w:sz w:val="19"/>
              </w:rPr>
              <w:t>Policy Tier</w:t>
            </w:r>
          </w:p>
        </w:tc>
        <w:tc>
          <w:tcPr>
            <w:tcW w:w="3312"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1BE22120" w14:textId="77777777" w:rsidR="003C36EF" w:rsidRDefault="00000000">
            <w:r>
              <w:rPr>
                <w:rFonts w:ascii="Calibri" w:hAnsi="Calibri"/>
                <w:b/>
                <w:color w:val="FFFFFF"/>
                <w:sz w:val="19"/>
              </w:rPr>
              <w:t>Governing Documents in Estate</w:t>
            </w:r>
          </w:p>
        </w:tc>
        <w:tc>
          <w:tcPr>
            <w:tcW w:w="3312"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4D1D913B" w14:textId="77777777" w:rsidR="003C36EF" w:rsidRDefault="00000000">
            <w:r>
              <w:rPr>
                <w:rFonts w:ascii="Calibri" w:hAnsi="Calibri"/>
                <w:b/>
                <w:color w:val="FFFFFF"/>
                <w:sz w:val="19"/>
              </w:rPr>
              <w:t>Governance Mandate &amp; Function</w:t>
            </w:r>
          </w:p>
        </w:tc>
      </w:tr>
      <w:tr w:rsidR="003C36EF" w14:paraId="208F1CFE" w14:textId="77777777">
        <w:trPr>
          <w:jc w:val="center"/>
        </w:trPr>
        <w:tc>
          <w:tcPr>
            <w:tcW w:w="3312"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3990D475" w14:textId="77777777" w:rsidR="003C36EF" w:rsidRDefault="00000000">
            <w:pPr>
              <w:jc w:val="center"/>
            </w:pPr>
            <w:r>
              <w:rPr>
                <w:rFonts w:ascii="Calibri" w:hAnsi="Calibri"/>
                <w:b/>
                <w:color w:val="1F3864"/>
                <w:sz w:val="18"/>
              </w:rPr>
              <w:t>Tier 1 — Apex Policy</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433514B" w14:textId="77777777" w:rsidR="003C36EF" w:rsidRDefault="00000000">
            <w:r>
              <w:rPr>
                <w:rFonts w:ascii="Calibri" w:hAnsi="Calibri"/>
                <w:color w:val="000000"/>
                <w:sz w:val="18"/>
              </w:rPr>
              <w:t>AI Governance Policy (A-23 — This Document)</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FC26AFC" w14:textId="77777777" w:rsidR="003C36EF" w:rsidRDefault="00000000">
            <w:r>
              <w:rPr>
                <w:rFonts w:ascii="Calibri" w:hAnsi="Calibri"/>
                <w:color w:val="000000"/>
                <w:sz w:val="18"/>
              </w:rPr>
              <w:t>Establishes constitutional principles, scope, mandatory controls, risk taxonomy, and board-level authority structures.</w:t>
            </w:r>
          </w:p>
        </w:tc>
      </w:tr>
      <w:tr w:rsidR="003C36EF" w14:paraId="5C92D7B6" w14:textId="77777777">
        <w:trPr>
          <w:jc w:val="center"/>
        </w:trPr>
        <w:tc>
          <w:tcPr>
            <w:tcW w:w="3312"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2D57EEC7" w14:textId="77777777" w:rsidR="003C36EF" w:rsidRDefault="00000000">
            <w:pPr>
              <w:jc w:val="center"/>
            </w:pPr>
            <w:r>
              <w:rPr>
                <w:rFonts w:ascii="Calibri" w:hAnsi="Calibri"/>
                <w:b/>
                <w:color w:val="1F3864"/>
                <w:sz w:val="18"/>
              </w:rPr>
              <w:t>Tier 2 — Institutional Charters</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1700C1B" w14:textId="77777777" w:rsidR="003C36EF" w:rsidRDefault="00000000">
            <w:r>
              <w:rPr>
                <w:rFonts w:ascii="Calibri" w:hAnsi="Calibri"/>
                <w:color w:val="000000"/>
                <w:sz w:val="18"/>
              </w:rPr>
              <w:t>AI Governance Strategy (A-25); AI Governance Committee Charter (A-26); AI Audit Charter (A-31); Ethics Charter (A-42)</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28D2A0B" w14:textId="77777777" w:rsidR="003C36EF" w:rsidRDefault="00000000">
            <w:r>
              <w:rPr>
                <w:rFonts w:ascii="Calibri" w:hAnsi="Calibri"/>
                <w:color w:val="000000"/>
                <w:sz w:val="18"/>
              </w:rPr>
              <w:t>Defines operating models, D1–D7 lifecycle decision rights, four-eyes rules, and independent 3LoD audit mandates.</w:t>
            </w:r>
          </w:p>
        </w:tc>
      </w:tr>
      <w:tr w:rsidR="003C36EF" w14:paraId="05575029" w14:textId="77777777">
        <w:trPr>
          <w:jc w:val="center"/>
        </w:trPr>
        <w:tc>
          <w:tcPr>
            <w:tcW w:w="3312"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086A5AA8" w14:textId="77777777" w:rsidR="003C36EF" w:rsidRDefault="00000000">
            <w:pPr>
              <w:jc w:val="center"/>
            </w:pPr>
            <w:r>
              <w:rPr>
                <w:rFonts w:ascii="Calibri" w:hAnsi="Calibri"/>
                <w:b/>
                <w:color w:val="1F3864"/>
                <w:sz w:val="18"/>
              </w:rPr>
              <w:t>Tier 2 — Governing Policies</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32483F8" w14:textId="77777777" w:rsidR="003C36EF" w:rsidRDefault="00000000">
            <w:r>
              <w:rPr>
                <w:rFonts w:ascii="Calibri" w:hAnsi="Calibri"/>
                <w:color w:val="000000"/>
                <w:sz w:val="18"/>
              </w:rPr>
              <w:t xml:space="preserve">AI Risk Management Policy (A-12); Responsible AI Policy (A-20); Data </w:t>
            </w:r>
            <w:r>
              <w:rPr>
                <w:rFonts w:ascii="Calibri" w:hAnsi="Calibri"/>
                <w:color w:val="000000"/>
                <w:sz w:val="18"/>
              </w:rPr>
              <w:lastRenderedPageBreak/>
              <w:t>Governance &amp; Privacy Policy for AI (A-13)</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AE7AFFC" w14:textId="77777777" w:rsidR="003C36EF" w:rsidRDefault="00000000">
            <w:r>
              <w:rPr>
                <w:rFonts w:ascii="Calibri" w:hAnsi="Calibri"/>
                <w:color w:val="000000"/>
                <w:sz w:val="18"/>
              </w:rPr>
              <w:lastRenderedPageBreak/>
              <w:t xml:space="preserve">Establishes quantitative risk appetite, ethical commitments, proxy fairness </w:t>
            </w:r>
            <w:r>
              <w:rPr>
                <w:rFonts w:ascii="Calibri" w:hAnsi="Calibri"/>
                <w:color w:val="000000"/>
                <w:sz w:val="18"/>
              </w:rPr>
              <w:lastRenderedPageBreak/>
              <w:t>thresholds (DIR &gt;= 0.80), and data classification rules.</w:t>
            </w:r>
          </w:p>
        </w:tc>
      </w:tr>
      <w:tr w:rsidR="003C36EF" w14:paraId="113F6FFB" w14:textId="77777777">
        <w:trPr>
          <w:jc w:val="center"/>
        </w:trPr>
        <w:tc>
          <w:tcPr>
            <w:tcW w:w="3312"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01AAE0CF" w14:textId="77777777" w:rsidR="003C36EF" w:rsidRDefault="00000000">
            <w:pPr>
              <w:jc w:val="center"/>
            </w:pPr>
            <w:r>
              <w:rPr>
                <w:rFonts w:ascii="Calibri" w:hAnsi="Calibri"/>
                <w:b/>
                <w:color w:val="1F3864"/>
                <w:sz w:val="18"/>
              </w:rPr>
              <w:lastRenderedPageBreak/>
              <w:t>Tier 3 — Delivery Procedures</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37F0340" w14:textId="77777777" w:rsidR="003C36EF" w:rsidRDefault="00000000">
            <w:r>
              <w:rPr>
                <w:rFonts w:ascii="Calibri" w:hAnsi="Calibri"/>
                <w:color w:val="000000"/>
                <w:sz w:val="18"/>
              </w:rPr>
              <w:t>Internal GenAI AUP (A-21); Human Oversight Procedure (A-36); Recourse Procedure (A-37); Incident Playbook (A-32); Kill Switch (A-34); BCP (A-44)</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AAC5B83" w14:textId="77777777" w:rsidR="003C36EF" w:rsidRDefault="00000000">
            <w:r>
              <w:rPr>
                <w:rFonts w:ascii="Calibri" w:hAnsi="Calibri"/>
                <w:color w:val="000000"/>
                <w:sz w:val="18"/>
              </w:rPr>
              <w:t>Codifies technical step-by-step instructions for underwriter four-check reviews, IAM permission wrappers, failover runbooks, and dispute SLAs.</w:t>
            </w:r>
          </w:p>
        </w:tc>
      </w:tr>
      <w:tr w:rsidR="003C36EF" w14:paraId="76DD9B3E" w14:textId="77777777">
        <w:trPr>
          <w:jc w:val="center"/>
        </w:trPr>
        <w:tc>
          <w:tcPr>
            <w:tcW w:w="3312"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49B7BD49" w14:textId="77777777" w:rsidR="003C36EF" w:rsidRDefault="00000000">
            <w:pPr>
              <w:jc w:val="center"/>
            </w:pPr>
            <w:r>
              <w:rPr>
                <w:rFonts w:ascii="Calibri" w:hAnsi="Calibri"/>
                <w:b/>
                <w:color w:val="1F3864"/>
                <w:sz w:val="18"/>
              </w:rPr>
              <w:t>Tier 4 — Verifiable Evidence</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8E56FD7" w14:textId="77777777" w:rsidR="003C36EF" w:rsidRDefault="00000000">
            <w:r>
              <w:rPr>
                <w:rFonts w:ascii="Calibri" w:hAnsi="Calibri"/>
                <w:color w:val="000000"/>
                <w:sz w:val="18"/>
              </w:rPr>
              <w:t>AI Model Registry (A-18); Risk Register (A-09); FMEA (A-10); Gate Log (A-28); Threat Matrix (A-39); Model Card (A-19); Maturity Tracker (A-43)</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500482D" w14:textId="77777777" w:rsidR="003C36EF" w:rsidRDefault="00000000">
            <w:r>
              <w:rPr>
                <w:rFonts w:ascii="Calibri" w:hAnsi="Calibri"/>
                <w:color w:val="000000"/>
                <w:sz w:val="18"/>
              </w:rPr>
              <w:t>Maintains empirical proof of testing, cryptographic hashes, four-eyes signatures, recorded dissents, and immutable S3 WORM audit logs.</w:t>
            </w:r>
          </w:p>
        </w:tc>
      </w:tr>
    </w:tbl>
    <w:p w14:paraId="2E99A2DE" w14:textId="77777777" w:rsidR="003C36EF" w:rsidRDefault="003C36EF"/>
    <w:p w14:paraId="5709F68A" w14:textId="77777777" w:rsidR="003C36EF" w:rsidRDefault="00000000">
      <w:pPr>
        <w:spacing w:after="80"/>
      </w:pPr>
      <w:r>
        <w:rPr>
          <w:rFonts w:ascii="Calibri" w:hAnsi="Calibri"/>
          <w:b/>
          <w:color w:val="1F3864"/>
          <w:sz w:val="28"/>
        </w:rPr>
        <w:t>3. Mandatory Governance Requirements</w:t>
      </w:r>
    </w:p>
    <w:p w14:paraId="3443E872" w14:textId="77777777" w:rsidR="003C36EF" w:rsidRDefault="00000000">
      <w:pPr>
        <w:spacing w:after="80"/>
      </w:pPr>
      <w:r>
        <w:rPr>
          <w:rFonts w:ascii="Calibri" w:hAnsi="Calibri"/>
          <w:sz w:val="20"/>
        </w:rPr>
        <w:t>These ten mandatory requirements apply enterprise-wide to all AI models and systems deployed by the organisation:</w:t>
      </w:r>
    </w:p>
    <w:p w14:paraId="2C392EDD" w14:textId="77777777" w:rsidR="003C36EF" w:rsidRDefault="00000000">
      <w:pPr>
        <w:spacing w:after="60"/>
      </w:pPr>
      <w:r>
        <w:rPr>
          <w:rFonts w:ascii="Calibri" w:hAnsi="Calibri"/>
          <w:b/>
          <w:color w:val="1F3864"/>
          <w:sz w:val="19"/>
        </w:rPr>
        <w:t xml:space="preserve">• Use Case Intake &amp; Classification: </w:t>
      </w:r>
      <w:r>
        <w:rPr>
          <w:rFonts w:ascii="Calibri" w:hAnsi="Calibri"/>
          <w:sz w:val="19"/>
        </w:rPr>
        <w:t>No AI system enters development without a registered entry in AI Use Case Inventory (A-01) and a formal risk-tier classification based on substantive function, not marketing labels.</w:t>
      </w:r>
    </w:p>
    <w:p w14:paraId="28C798C5" w14:textId="77777777" w:rsidR="003C36EF" w:rsidRDefault="00000000">
      <w:pPr>
        <w:spacing w:after="60"/>
      </w:pPr>
      <w:r>
        <w:rPr>
          <w:rFonts w:ascii="Calibri" w:hAnsi="Calibri"/>
          <w:b/>
          <w:color w:val="1F3864"/>
          <w:sz w:val="19"/>
        </w:rPr>
        <w:t xml:space="preserve">• Strict Lifecycle Gating: </w:t>
      </w:r>
      <w:r>
        <w:rPr>
          <w:rFonts w:ascii="Calibri" w:hAnsi="Calibri"/>
          <w:sz w:val="19"/>
        </w:rPr>
        <w:t>No high-risk AI system is deployed without passing every stage gate (D1–D7), evidenced in the Lifecycle Gate Approval Log (A-28) with verifiable technical dossiers.</w:t>
      </w:r>
    </w:p>
    <w:p w14:paraId="0C3C9828" w14:textId="77777777" w:rsidR="003C36EF" w:rsidRDefault="00000000">
      <w:pPr>
        <w:spacing w:after="60"/>
      </w:pPr>
      <w:r>
        <w:rPr>
          <w:rFonts w:ascii="Calibri" w:hAnsi="Calibri"/>
          <w:b/>
          <w:color w:val="1F3864"/>
          <w:sz w:val="19"/>
        </w:rPr>
        <w:t xml:space="preserve">• Four-Eyes Segregation: </w:t>
      </w:r>
      <w:r>
        <w:rPr>
          <w:rFonts w:ascii="Calibri" w:hAnsi="Calibri"/>
          <w:sz w:val="19"/>
        </w:rPr>
        <w:t>No approval or release sign-off may be granted by the individual or team that produced the underlying evidence. Four-eyes applies without exception and is verified by script CC-05.</w:t>
      </w:r>
    </w:p>
    <w:p w14:paraId="0BA6012A" w14:textId="77777777" w:rsidR="003C36EF" w:rsidRDefault="00000000">
      <w:pPr>
        <w:spacing w:after="60"/>
      </w:pPr>
      <w:r>
        <w:rPr>
          <w:rFonts w:ascii="Calibri" w:hAnsi="Calibri"/>
          <w:b/>
          <w:color w:val="1F3864"/>
          <w:sz w:val="19"/>
        </w:rPr>
        <w:t xml:space="preserve">• Permission-Layer Enforcement: </w:t>
      </w:r>
      <w:r>
        <w:rPr>
          <w:rFonts w:ascii="Calibri" w:hAnsi="Calibri"/>
          <w:sz w:val="19"/>
        </w:rPr>
        <w:t>No application code path reaches a model without its approved control set attached. Technical enforcement resides at the IAM permission boundary layer, never at the application layer.</w:t>
      </w:r>
    </w:p>
    <w:p w14:paraId="7A87586F" w14:textId="77777777" w:rsidR="003C36EF" w:rsidRDefault="00000000">
      <w:pPr>
        <w:spacing w:after="60"/>
      </w:pPr>
      <w:r>
        <w:rPr>
          <w:rFonts w:ascii="Calibri" w:hAnsi="Calibri"/>
          <w:b/>
          <w:color w:val="1F3864"/>
          <w:sz w:val="19"/>
        </w:rPr>
        <w:t xml:space="preserve">• Statutory Human Recourse: </w:t>
      </w:r>
      <w:r>
        <w:rPr>
          <w:rFonts w:ascii="Calibri" w:hAnsi="Calibri"/>
          <w:sz w:val="19"/>
        </w:rPr>
        <w:t>Every system affecting natural persons must provide an operational, plain-English explanation of drivers (TreeSHAP) and an unconditional route to obtain independent human review (A-37).</w:t>
      </w:r>
    </w:p>
    <w:p w14:paraId="355892A9" w14:textId="77777777" w:rsidR="003C36EF" w:rsidRDefault="00000000">
      <w:pPr>
        <w:spacing w:after="60"/>
      </w:pPr>
      <w:r>
        <w:rPr>
          <w:rFonts w:ascii="Calibri" w:hAnsi="Calibri"/>
          <w:b/>
          <w:color w:val="1F3864"/>
          <w:sz w:val="19"/>
        </w:rPr>
        <w:t xml:space="preserve">• Recorded Competency: </w:t>
      </w:r>
      <w:r>
        <w:rPr>
          <w:rFonts w:ascii="Calibri" w:hAnsi="Calibri"/>
          <w:sz w:val="19"/>
        </w:rPr>
        <w:t>Every loan officer, risk analyst, or system operator interacting with high-risk AI must hold recorded, current competency in A-38, refreshed on every model version cutover.</w:t>
      </w:r>
    </w:p>
    <w:p w14:paraId="21FF2C72" w14:textId="77777777" w:rsidR="003C36EF" w:rsidRDefault="00000000">
      <w:pPr>
        <w:spacing w:after="60"/>
      </w:pPr>
      <w:r>
        <w:rPr>
          <w:rFonts w:ascii="Calibri" w:hAnsi="Calibri"/>
          <w:b/>
          <w:color w:val="1F3864"/>
          <w:sz w:val="19"/>
        </w:rPr>
        <w:t xml:space="preserve">• Effectiveness over Existence: </w:t>
      </w:r>
      <w:r>
        <w:rPr>
          <w:rFonts w:ascii="Calibri" w:hAnsi="Calibri"/>
          <w:sz w:val="19"/>
        </w:rPr>
        <w:t>Controls must be tested for operational effectiveness against realistic inputs, not merely confirmed for configuration. All testing evidence must be indexed in A-39.</w:t>
      </w:r>
    </w:p>
    <w:p w14:paraId="5558DD17" w14:textId="77777777" w:rsidR="003C36EF" w:rsidRDefault="00000000">
      <w:pPr>
        <w:spacing w:after="60"/>
      </w:pPr>
      <w:r>
        <w:rPr>
          <w:rFonts w:ascii="Calibri" w:hAnsi="Calibri"/>
          <w:b/>
          <w:color w:val="1F3864"/>
          <w:sz w:val="19"/>
        </w:rPr>
        <w:t xml:space="preserve">• Continuous Drift Telemetry: </w:t>
      </w:r>
      <w:r>
        <w:rPr>
          <w:rFonts w:ascii="Calibri" w:hAnsi="Calibri"/>
          <w:sz w:val="19"/>
        </w:rPr>
        <w:t>Every deployed system must be continuously monitored against pre-declared thresholds (PSI drift, Brier calibration, override corridor) with named owners and escalation runbooks.</w:t>
      </w:r>
    </w:p>
    <w:p w14:paraId="4D26A6BA" w14:textId="77777777" w:rsidR="003C36EF" w:rsidRDefault="00000000">
      <w:pPr>
        <w:spacing w:after="60"/>
      </w:pPr>
      <w:r>
        <w:rPr>
          <w:rFonts w:ascii="Calibri" w:hAnsi="Calibri"/>
          <w:b/>
          <w:color w:val="1F3864"/>
          <w:sz w:val="19"/>
        </w:rPr>
        <w:t xml:space="preserve">• Pre-Live Retention Architecture: </w:t>
      </w:r>
      <w:r>
        <w:rPr>
          <w:rFonts w:ascii="Calibri" w:hAnsi="Calibri"/>
          <w:sz w:val="19"/>
        </w:rPr>
        <w:t>Every system must have an approved decommissioning, kill-switch, and 7-year immutable S3 WORM retention plan before going live, not upon retirement.</w:t>
      </w:r>
    </w:p>
    <w:p w14:paraId="5ED71292" w14:textId="77777777" w:rsidR="003C36EF" w:rsidRDefault="00000000">
      <w:pPr>
        <w:spacing w:after="60"/>
      </w:pPr>
      <w:r>
        <w:rPr>
          <w:rFonts w:ascii="Calibri" w:hAnsi="Calibri"/>
          <w:b/>
          <w:color w:val="1F3864"/>
          <w:sz w:val="19"/>
        </w:rPr>
        <w:t xml:space="preserve">• The Institutional Right to Say No: </w:t>
      </w:r>
      <w:r>
        <w:rPr>
          <w:rFonts w:ascii="Calibri" w:hAnsi="Calibri"/>
          <w:sz w:val="19"/>
        </w:rPr>
        <w:t>The organisation will decline or suspend any AI use case it cannot govern or audit to this standard. Commercial delivery deadlines never justify a safety waiver.</w:t>
      </w:r>
    </w:p>
    <w:p w14:paraId="7BF0658B" w14:textId="77777777" w:rsidR="003C36EF" w:rsidRDefault="00000000">
      <w:pPr>
        <w:spacing w:after="120"/>
      </w:pPr>
      <w:r>
        <w:rPr>
          <w:rFonts w:ascii="Calibri" w:hAnsi="Calibri"/>
          <w:i/>
          <w:sz w:val="19"/>
        </w:rPr>
        <w:t>Requirement 10 is the core control that gives the other nine their force. A governance framework that cannot stop progression is merely an administrative description of activity.</w:t>
      </w:r>
    </w:p>
    <w:p w14:paraId="50748506" w14:textId="77777777" w:rsidR="003C36EF" w:rsidRDefault="00000000">
      <w:pPr>
        <w:spacing w:after="80"/>
      </w:pPr>
      <w:r>
        <w:rPr>
          <w:rFonts w:ascii="Calibri" w:hAnsi="Calibri"/>
          <w:b/>
          <w:color w:val="1F3864"/>
          <w:sz w:val="24"/>
        </w:rPr>
        <w:t>3.1. Enterprise AI Risk Classification Framework</w:t>
      </w:r>
    </w:p>
    <w:p w14:paraId="21201704" w14:textId="77777777" w:rsidR="003C36EF" w:rsidRDefault="00000000">
      <w:pPr>
        <w:spacing w:after="120"/>
      </w:pPr>
      <w:r>
        <w:rPr>
          <w:rFonts w:ascii="Calibri" w:hAnsi="Calibri"/>
          <w:sz w:val="20"/>
        </w:rPr>
        <w:t>All proposed AI use cases are classified into four risk tiers aligned with EU AI Act Article 6 and NIST AI RMF, determining required oversight gates:</w:t>
      </w:r>
    </w:p>
    <w:tbl>
      <w:tblPr>
        <w:tblW w:w="0" w:type="auto"/>
        <w:jc w:val="center"/>
        <w:tblLook w:val="04A0" w:firstRow="1" w:lastRow="0" w:firstColumn="1" w:lastColumn="0" w:noHBand="0" w:noVBand="1"/>
      </w:tblPr>
      <w:tblGrid>
        <w:gridCol w:w="2484"/>
        <w:gridCol w:w="2484"/>
        <w:gridCol w:w="2484"/>
        <w:gridCol w:w="2484"/>
      </w:tblGrid>
      <w:tr w:rsidR="003C36EF" w14:paraId="0AE64B27" w14:textId="77777777">
        <w:trPr>
          <w:jc w:val="center"/>
        </w:trPr>
        <w:tc>
          <w:tcPr>
            <w:tcW w:w="2484"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671FB424" w14:textId="77777777" w:rsidR="003C36EF" w:rsidRDefault="00000000">
            <w:pPr>
              <w:jc w:val="center"/>
            </w:pPr>
            <w:r>
              <w:rPr>
                <w:rFonts w:ascii="Calibri" w:hAnsi="Calibri"/>
                <w:b/>
                <w:color w:val="FFFFFF"/>
                <w:sz w:val="19"/>
              </w:rPr>
              <w:lastRenderedPageBreak/>
              <w:t>Risk Tier</w:t>
            </w:r>
          </w:p>
        </w:tc>
        <w:tc>
          <w:tcPr>
            <w:tcW w:w="2484"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464EB20D" w14:textId="77777777" w:rsidR="003C36EF" w:rsidRDefault="00000000">
            <w:r>
              <w:rPr>
                <w:rFonts w:ascii="Calibri" w:hAnsi="Calibri"/>
                <w:b/>
                <w:color w:val="FFFFFF"/>
                <w:sz w:val="19"/>
              </w:rPr>
              <w:t>Operational Use Case Scope</w:t>
            </w:r>
          </w:p>
        </w:tc>
        <w:tc>
          <w:tcPr>
            <w:tcW w:w="2484"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541188EB" w14:textId="77777777" w:rsidR="003C36EF" w:rsidRDefault="00000000">
            <w:r>
              <w:rPr>
                <w:rFonts w:ascii="Calibri" w:hAnsi="Calibri"/>
                <w:b/>
                <w:color w:val="FFFFFF"/>
                <w:sz w:val="19"/>
              </w:rPr>
              <w:t>Mandatory Governance Controls &amp; Gates</w:t>
            </w:r>
          </w:p>
        </w:tc>
        <w:tc>
          <w:tcPr>
            <w:tcW w:w="2484"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3FBE844D" w14:textId="77777777" w:rsidR="003C36EF" w:rsidRDefault="00000000">
            <w:pPr>
              <w:jc w:val="center"/>
            </w:pPr>
            <w:r>
              <w:rPr>
                <w:rFonts w:ascii="Calibri" w:hAnsi="Calibri"/>
                <w:b/>
                <w:color w:val="FFFFFF"/>
                <w:sz w:val="19"/>
              </w:rPr>
              <w:t>Risk Appetite</w:t>
            </w:r>
          </w:p>
        </w:tc>
      </w:tr>
      <w:tr w:rsidR="003C36EF" w14:paraId="50F5D587" w14:textId="77777777">
        <w:trPr>
          <w:jc w:val="center"/>
        </w:trPr>
        <w:tc>
          <w:tcPr>
            <w:tcW w:w="2484" w:type="dxa"/>
            <w:tcBorders>
              <w:top w:val="single" w:sz="4" w:space="0" w:color="BFBFBF"/>
              <w:left w:val="single" w:sz="4" w:space="0" w:color="BFBFBF"/>
              <w:bottom w:val="single" w:sz="4" w:space="0" w:color="BFBFBF"/>
              <w:right w:val="single" w:sz="4" w:space="0" w:color="BFBFBF"/>
            </w:tcBorders>
            <w:shd w:val="clear" w:color="auto" w:fill="FCE4D6"/>
            <w:tcMar>
              <w:top w:w="120" w:type="dxa"/>
              <w:left w:w="160" w:type="dxa"/>
              <w:bottom w:w="120" w:type="dxa"/>
              <w:right w:w="160" w:type="dxa"/>
            </w:tcMar>
          </w:tcPr>
          <w:p w14:paraId="3FDDCE17" w14:textId="77777777" w:rsidR="003C36EF" w:rsidRDefault="00000000">
            <w:pPr>
              <w:jc w:val="center"/>
            </w:pPr>
            <w:r>
              <w:rPr>
                <w:rFonts w:ascii="Calibri" w:hAnsi="Calibri"/>
                <w:b/>
                <w:color w:val="9C0006"/>
                <w:sz w:val="18"/>
              </w:rPr>
              <w:t>Prohibited Risk</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B3827AA" w14:textId="77777777" w:rsidR="003C36EF" w:rsidRDefault="00000000">
            <w:r>
              <w:rPr>
                <w:rFonts w:ascii="Calibri" w:hAnsi="Calibri"/>
                <w:color w:val="9C0006"/>
                <w:sz w:val="18"/>
              </w:rPr>
              <w:t>Social scoring of applicants, biometric categorisation, subliminal manipulation, untargeted scraping of facial images.</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4568064" w14:textId="77777777" w:rsidR="003C36EF" w:rsidRDefault="00000000">
            <w:r>
              <w:rPr>
                <w:rFonts w:ascii="Calibri" w:hAnsi="Calibri"/>
                <w:color w:val="9C0006"/>
                <w:sz w:val="18"/>
              </w:rPr>
              <w:t>BANNED OUTRIGHT. No business justification permitted. Immediate escalation if detected. (Use case UC-002 rejected at D1).</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5888227" w14:textId="77777777" w:rsidR="003C36EF" w:rsidRDefault="00000000">
            <w:pPr>
              <w:jc w:val="center"/>
            </w:pPr>
            <w:r>
              <w:rPr>
                <w:rFonts w:ascii="Calibri" w:hAnsi="Calibri"/>
                <w:b/>
                <w:color w:val="9C0006"/>
                <w:sz w:val="18"/>
              </w:rPr>
              <w:t>Zero Appetite</w:t>
            </w:r>
          </w:p>
        </w:tc>
      </w:tr>
      <w:tr w:rsidR="003C36EF" w14:paraId="0150FB3A" w14:textId="77777777">
        <w:trPr>
          <w:jc w:val="center"/>
        </w:trPr>
        <w:tc>
          <w:tcPr>
            <w:tcW w:w="2484" w:type="dxa"/>
            <w:tcBorders>
              <w:top w:val="single" w:sz="4" w:space="0" w:color="BFBFBF"/>
              <w:left w:val="single" w:sz="4" w:space="0" w:color="BFBFBF"/>
              <w:bottom w:val="single" w:sz="4" w:space="0" w:color="BFBFBF"/>
              <w:right w:val="single" w:sz="4" w:space="0" w:color="BFBFBF"/>
            </w:tcBorders>
            <w:shd w:val="clear" w:color="auto" w:fill="FFF2CC"/>
            <w:tcMar>
              <w:top w:w="120" w:type="dxa"/>
              <w:left w:w="160" w:type="dxa"/>
              <w:bottom w:w="120" w:type="dxa"/>
              <w:right w:w="160" w:type="dxa"/>
            </w:tcMar>
          </w:tcPr>
          <w:p w14:paraId="020D8133" w14:textId="77777777" w:rsidR="003C36EF" w:rsidRDefault="00000000">
            <w:pPr>
              <w:jc w:val="center"/>
            </w:pPr>
            <w:r>
              <w:rPr>
                <w:rFonts w:ascii="Calibri" w:hAnsi="Calibri"/>
                <w:b/>
                <w:color w:val="000000"/>
                <w:sz w:val="18"/>
              </w:rPr>
              <w:t>High-Risk (Tier 1)</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B223D3E" w14:textId="77777777" w:rsidR="003C36EF" w:rsidRDefault="00000000">
            <w:r>
              <w:rPr>
                <w:rFonts w:ascii="Calibri" w:hAnsi="Calibri"/>
                <w:color w:val="000000"/>
                <w:sz w:val="18"/>
              </w:rPr>
              <w:t>Retail creditworthiness scoring, automated lending underwriting, employment CV screening (EU AI Act Annex III 5b).</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B946AD0" w14:textId="77777777" w:rsidR="003C36EF" w:rsidRDefault="00000000">
            <w:r>
              <w:rPr>
                <w:rFonts w:ascii="Calibri" w:hAnsi="Calibri"/>
                <w:color w:val="000000"/>
                <w:sz w:val="18"/>
              </w:rPr>
              <w:t>Mandatory AIGC approval, Algorithmic Impact Assessment (A-07), counterfactual fairness testing (DIR &gt;= 0.80), mandatory underwriter review floor.</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7D27EA3" w14:textId="77777777" w:rsidR="003C36EF" w:rsidRDefault="00000000">
            <w:pPr>
              <w:jc w:val="center"/>
            </w:pPr>
            <w:r>
              <w:rPr>
                <w:rFonts w:ascii="Calibri" w:hAnsi="Calibri"/>
                <w:b/>
                <w:color w:val="000000"/>
                <w:sz w:val="18"/>
              </w:rPr>
              <w:t>Strictly Governed (CDA System)</w:t>
            </w:r>
          </w:p>
        </w:tc>
      </w:tr>
      <w:tr w:rsidR="003C36EF" w14:paraId="58A59D73" w14:textId="77777777">
        <w:trPr>
          <w:jc w:val="center"/>
        </w:trPr>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AC2828A" w14:textId="77777777" w:rsidR="003C36EF" w:rsidRDefault="00000000">
            <w:pPr>
              <w:jc w:val="center"/>
            </w:pPr>
            <w:r>
              <w:rPr>
                <w:rFonts w:ascii="Calibri" w:hAnsi="Calibri"/>
                <w:b/>
                <w:color w:val="000000"/>
                <w:sz w:val="18"/>
              </w:rPr>
              <w:t>Limited-Risk (Tier 2)</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316B0E4" w14:textId="77777777" w:rsidR="003C36EF" w:rsidRDefault="00000000">
            <w:r>
              <w:rPr>
                <w:rFonts w:ascii="Calibri" w:hAnsi="Calibri"/>
                <w:color w:val="000000"/>
                <w:sz w:val="18"/>
              </w:rPr>
              <w:t>Customer service chatbots, marketing copy generation, internal meeting summarizers, policy search tools.</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88CE81F" w14:textId="77777777" w:rsidR="003C36EF" w:rsidRDefault="00000000">
            <w:r>
              <w:rPr>
                <w:rFonts w:ascii="Calibri" w:hAnsi="Calibri"/>
                <w:color w:val="000000"/>
                <w:sz w:val="18"/>
              </w:rPr>
              <w:t>Mandatory customer transparency disclosure (AI involvement disclosed), output content review, access logging.</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0B19B75" w14:textId="77777777" w:rsidR="003C36EF" w:rsidRDefault="00000000">
            <w:pPr>
              <w:jc w:val="center"/>
            </w:pPr>
            <w:r>
              <w:rPr>
                <w:rFonts w:ascii="Calibri" w:hAnsi="Calibri"/>
                <w:b/>
                <w:color w:val="000000"/>
                <w:sz w:val="18"/>
              </w:rPr>
              <w:t>Standard Gating</w:t>
            </w:r>
          </w:p>
        </w:tc>
      </w:tr>
      <w:tr w:rsidR="003C36EF" w14:paraId="2A6867C9" w14:textId="77777777">
        <w:trPr>
          <w:jc w:val="center"/>
        </w:trPr>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49620FA" w14:textId="77777777" w:rsidR="003C36EF" w:rsidRDefault="00000000">
            <w:pPr>
              <w:jc w:val="center"/>
            </w:pPr>
            <w:r>
              <w:rPr>
                <w:rFonts w:ascii="Calibri" w:hAnsi="Calibri"/>
                <w:b/>
                <w:color w:val="000000"/>
                <w:sz w:val="18"/>
              </w:rPr>
              <w:t>Minimal-Risk (Tier 3)</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E7BF108" w14:textId="77777777" w:rsidR="003C36EF" w:rsidRDefault="00000000">
            <w:r>
              <w:rPr>
                <w:rFonts w:ascii="Calibri" w:hAnsi="Calibri"/>
                <w:color w:val="000000"/>
                <w:sz w:val="18"/>
              </w:rPr>
              <w:t>Internal code auto-completion, spam filtering, data formatting, internal administrative search.</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3DAB46C" w14:textId="77777777" w:rsidR="003C36EF" w:rsidRDefault="00000000">
            <w:r>
              <w:rPr>
                <w:rFonts w:ascii="Calibri" w:hAnsi="Calibri"/>
                <w:color w:val="000000"/>
                <w:sz w:val="18"/>
              </w:rPr>
              <w:t>Standard acceptable-use compliance (A-22); permitted enterprise whitelist tools only.</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8485819" w14:textId="77777777" w:rsidR="003C36EF" w:rsidRDefault="00000000">
            <w:pPr>
              <w:jc w:val="center"/>
            </w:pPr>
            <w:r>
              <w:rPr>
                <w:rFonts w:ascii="Calibri" w:hAnsi="Calibri"/>
                <w:b/>
                <w:color w:val="000000"/>
                <w:sz w:val="18"/>
              </w:rPr>
              <w:t>Low Overhead</w:t>
            </w:r>
          </w:p>
        </w:tc>
      </w:tr>
    </w:tbl>
    <w:p w14:paraId="02626669" w14:textId="77777777" w:rsidR="003C36EF" w:rsidRDefault="003C36EF"/>
    <w:p w14:paraId="13FF7C33" w14:textId="77777777" w:rsidR="003C36EF" w:rsidRDefault="00000000">
      <w:pPr>
        <w:spacing w:after="80"/>
      </w:pPr>
      <w:r>
        <w:rPr>
          <w:rFonts w:ascii="Calibri" w:hAnsi="Calibri"/>
          <w:b/>
          <w:color w:val="1F3864"/>
          <w:sz w:val="28"/>
        </w:rPr>
        <w:t>4. Scope, Inclusions, and Shadow AI Controls</w:t>
      </w:r>
    </w:p>
    <w:p w14:paraId="4B4C70E5" w14:textId="77777777" w:rsidR="003C36EF" w:rsidRDefault="00000000">
      <w:pPr>
        <w:spacing w:after="80"/>
      </w:pPr>
      <w:r>
        <w:rPr>
          <w:rFonts w:ascii="Calibri" w:hAnsi="Calibri"/>
          <w:sz w:val="20"/>
        </w:rPr>
        <w:t>This policy applies across all business units, legal entities, and operating jurisdictions. In scope: every system using machine learning, deep learning, statistical scoring algorithms, or foundation models that informs decisions about individuals, produces external content, or processes personal financial data — whether built in-house, procured as SaaS, or accessed via API.</w:t>
      </w:r>
    </w:p>
    <w:p w14:paraId="4E93CCCB" w14:textId="77777777" w:rsidR="003C36EF" w:rsidRDefault="00000000">
      <w:pPr>
        <w:spacing w:after="40"/>
      </w:pPr>
      <w:r>
        <w:rPr>
          <w:rFonts w:ascii="Calibri" w:hAnsi="Calibri"/>
          <w:b/>
          <w:color w:val="1F3864"/>
        </w:rPr>
        <w:t>4.1. Shadow AI Discovery and Third-Party Intercept Controls</w:t>
      </w:r>
    </w:p>
    <w:p w14:paraId="17246C27" w14:textId="77777777" w:rsidR="003C36EF" w:rsidRDefault="00000000">
      <w:r>
        <w:rPr>
          <w:rFonts w:ascii="Calibri" w:hAnsi="Calibri"/>
          <w:sz w:val="19"/>
        </w:rPr>
        <w:t>Explicitly In Scope: AI capabilities embedded in third-party software that the bank did not explicitly commission. Embedded AI is the primary route by which ungoverned AI enters an organisation (e.g., retrospective registration of SYS-003). Procurement will not execute contracts for any software containing AI capabilities without prior AI Governance Committee intercept (A-16/A-17). Personal consumer accounts (e.g., public ChatGPT, Gemini) and unvetted browser plug-ins are blocked on bank networks and endpoints.</w:t>
      </w:r>
    </w:p>
    <w:p w14:paraId="6B55D6ED" w14:textId="77777777" w:rsidR="003C36EF" w:rsidRDefault="00000000">
      <w:r>
        <w:rPr>
          <w:rFonts w:ascii="Calibri" w:hAnsi="Calibri"/>
          <w:b/>
          <w:color w:val="1F3864"/>
          <w:sz w:val="28"/>
        </w:rPr>
        <w:t>5. Institutional Governance Roles and Accountabilities</w:t>
      </w:r>
    </w:p>
    <w:tbl>
      <w:tblPr>
        <w:tblW w:w="0" w:type="auto"/>
        <w:jc w:val="center"/>
        <w:tblLook w:val="04A0" w:firstRow="1" w:lastRow="0" w:firstColumn="1" w:lastColumn="0" w:noHBand="0" w:noVBand="1"/>
      </w:tblPr>
      <w:tblGrid>
        <w:gridCol w:w="4968"/>
        <w:gridCol w:w="4968"/>
      </w:tblGrid>
      <w:tr w:rsidR="003C36EF" w14:paraId="5CA7B2ED"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57233C3B" w14:textId="77777777" w:rsidR="003C36EF" w:rsidRDefault="00000000">
            <w:r>
              <w:rPr>
                <w:rFonts w:ascii="Calibri" w:hAnsi="Calibri"/>
                <w:b/>
                <w:color w:val="FFFFFF"/>
                <w:sz w:val="19"/>
              </w:rPr>
              <w:t>Governance Role / Body</w:t>
            </w:r>
          </w:p>
        </w:tc>
        <w:tc>
          <w:tcPr>
            <w:tcW w:w="4968"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7DCA8044" w14:textId="77777777" w:rsidR="003C36EF" w:rsidRDefault="00000000">
            <w:r>
              <w:rPr>
                <w:rFonts w:ascii="Calibri" w:hAnsi="Calibri"/>
                <w:b/>
                <w:color w:val="FFFFFF"/>
                <w:sz w:val="19"/>
              </w:rPr>
              <w:t>Constitutional Accountability Under This Policy</w:t>
            </w:r>
          </w:p>
        </w:tc>
      </w:tr>
      <w:tr w:rsidR="003C36EF" w14:paraId="0C7A3964"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2888229D" w14:textId="77777777" w:rsidR="003C36EF" w:rsidRDefault="00000000">
            <w:r>
              <w:rPr>
                <w:rFonts w:ascii="Calibri" w:hAnsi="Calibri"/>
                <w:b/>
                <w:color w:val="1F3864"/>
                <w:sz w:val="18"/>
              </w:rPr>
              <w:lastRenderedPageBreak/>
              <w:t>Board of Directors (Board Risk Committee)</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9A4A5D3" w14:textId="77777777" w:rsidR="003C36EF" w:rsidRDefault="00000000">
            <w:r>
              <w:rPr>
                <w:rFonts w:ascii="Calibri" w:hAnsi="Calibri"/>
                <w:color w:val="000000"/>
                <w:sz w:val="18"/>
              </w:rPr>
              <w:t>Approves this apex policy; reviews quarterly AI risk reports; formally ratifies decisions to decline or withdraw ungovernable use cases.</w:t>
            </w:r>
          </w:p>
        </w:tc>
      </w:tr>
      <w:tr w:rsidR="003C36EF" w14:paraId="4C7498E2"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47F86B79" w14:textId="77777777" w:rsidR="003C36EF" w:rsidRDefault="00000000">
            <w:r>
              <w:rPr>
                <w:rFonts w:ascii="Calibri" w:hAnsi="Calibri"/>
                <w:b/>
                <w:color w:val="1F3864"/>
                <w:sz w:val="18"/>
              </w:rPr>
              <w:t>AI Governance Committee (AIGC)</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03FD900" w14:textId="77777777" w:rsidR="003C36EF" w:rsidRDefault="00000000">
            <w:r>
              <w:rPr>
                <w:rFonts w:ascii="Calibri" w:hAnsi="Calibri"/>
                <w:color w:val="000000"/>
                <w:sz w:val="18"/>
              </w:rPr>
              <w:t>Standing executive authority. Grants gate approvals (D1–D7); enforces supermajority voting rules for go-live; holds unilateral suspension authority.</w:t>
            </w:r>
          </w:p>
        </w:tc>
      </w:tr>
      <w:tr w:rsidR="003C36EF" w14:paraId="65E9D263"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301A05AC" w14:textId="77777777" w:rsidR="003C36EF" w:rsidRDefault="00000000">
            <w:r>
              <w:rPr>
                <w:rFonts w:ascii="Calibri" w:hAnsi="Calibri"/>
                <w:b/>
                <w:color w:val="1F3864"/>
                <w:sz w:val="18"/>
              </w:rPr>
              <w:t>Chief Risk Officer (CRO)</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1585CB7" w14:textId="77777777" w:rsidR="003C36EF" w:rsidRDefault="00000000">
            <w:r>
              <w:rPr>
                <w:rFonts w:ascii="Calibri" w:hAnsi="Calibri"/>
                <w:color w:val="000000"/>
                <w:sz w:val="18"/>
              </w:rPr>
              <w:t>Executive Policy Owner. Establishes risk appetite; resolves executive escalations; approves material model exceptions.</w:t>
            </w:r>
          </w:p>
        </w:tc>
      </w:tr>
      <w:tr w:rsidR="003C36EF" w14:paraId="2A8047E1"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56390E2F" w14:textId="77777777" w:rsidR="003C36EF" w:rsidRDefault="00000000">
            <w:r>
              <w:rPr>
                <w:rFonts w:ascii="Calibri" w:hAnsi="Calibri"/>
                <w:b/>
                <w:color w:val="1F3864"/>
                <w:sz w:val="18"/>
              </w:rPr>
              <w:t>AI Governance Lead</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5E20254" w14:textId="77777777" w:rsidR="003C36EF" w:rsidRDefault="00000000">
            <w:r>
              <w:rPr>
                <w:rFonts w:ascii="Calibri" w:hAnsi="Calibri"/>
                <w:color w:val="000000"/>
                <w:sz w:val="18"/>
              </w:rPr>
              <w:t>Framework Architect. Coordinates stage-gate evidence dossiers; maintains Risk Register (A-09) and Model Registry (A-18); executes four-eyes checks.</w:t>
            </w:r>
          </w:p>
        </w:tc>
      </w:tr>
      <w:tr w:rsidR="003C36EF" w14:paraId="0C399745"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165243C7" w14:textId="77777777" w:rsidR="003C36EF" w:rsidRDefault="00000000">
            <w:r>
              <w:rPr>
                <w:rFonts w:ascii="Calibri" w:hAnsi="Calibri"/>
                <w:b/>
                <w:color w:val="1F3864"/>
                <w:sz w:val="18"/>
              </w:rPr>
              <w:t>Head of Model Risk Management (MRM)</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CFEF63E" w14:textId="77777777" w:rsidR="003C36EF" w:rsidRDefault="00000000">
            <w:r>
              <w:rPr>
                <w:rFonts w:ascii="Calibri" w:hAnsi="Calibri"/>
                <w:color w:val="000000"/>
                <w:sz w:val="18"/>
              </w:rPr>
              <w:t>Algorithmic Assurance. Holds exclusive custody of test partitions; conducts independent statistical validation of calibration and fairness.</w:t>
            </w:r>
          </w:p>
        </w:tc>
      </w:tr>
      <w:tr w:rsidR="003C36EF" w14:paraId="4484ABC5"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186CF787" w14:textId="77777777" w:rsidR="003C36EF" w:rsidRDefault="00000000">
            <w:r>
              <w:rPr>
                <w:rFonts w:ascii="Calibri" w:hAnsi="Calibri"/>
                <w:b/>
                <w:color w:val="1F3864"/>
                <w:sz w:val="18"/>
              </w:rPr>
              <w:t>Chief Information Security Officer (CISO)</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760B822" w14:textId="77777777" w:rsidR="003C36EF" w:rsidRDefault="00000000">
            <w:r>
              <w:rPr>
                <w:rFonts w:ascii="Calibri" w:hAnsi="Calibri"/>
                <w:color w:val="000000"/>
                <w:sz w:val="18"/>
              </w:rPr>
              <w:t>Cyber Resilience. Enforces IAM permission boundaries (ENF-01); oversees adversarial red-teaming (A-39) and operational incident response (A-32).</w:t>
            </w:r>
          </w:p>
        </w:tc>
      </w:tr>
      <w:tr w:rsidR="003C36EF" w14:paraId="2217443C"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30BE7FFB" w14:textId="77777777" w:rsidR="003C36EF" w:rsidRDefault="00000000">
            <w:r>
              <w:rPr>
                <w:rFonts w:ascii="Calibri" w:hAnsi="Calibri"/>
                <w:b/>
                <w:color w:val="1F3864"/>
                <w:sz w:val="18"/>
              </w:rPr>
              <w:t>Data Protection Officer (DPO)</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7408ABD" w14:textId="77777777" w:rsidR="003C36EF" w:rsidRDefault="00000000">
            <w:r>
              <w:rPr>
                <w:rFonts w:ascii="Calibri" w:hAnsi="Calibri"/>
                <w:color w:val="000000"/>
                <w:sz w:val="18"/>
              </w:rPr>
              <w:t>Privacy Governance. Owns PANOPTIC DPIA (A-35); enforces 6-entity PII redaction (GDR-03); monitors GDPR Art. 33/34 and PDPA breach notification clocks.</w:t>
            </w:r>
          </w:p>
        </w:tc>
      </w:tr>
      <w:tr w:rsidR="003C36EF" w14:paraId="259ED853"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71A187E3" w14:textId="77777777" w:rsidR="003C36EF" w:rsidRDefault="00000000">
            <w:r>
              <w:rPr>
                <w:rFonts w:ascii="Calibri" w:hAnsi="Calibri"/>
                <w:b/>
                <w:color w:val="1F3864"/>
                <w:sz w:val="18"/>
              </w:rPr>
              <w:t>Accountable Business Owner (Retail Lending)</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CE7045A" w14:textId="77777777" w:rsidR="003C36EF" w:rsidRDefault="00000000">
            <w:r>
              <w:rPr>
                <w:rFonts w:ascii="Calibri" w:hAnsi="Calibri"/>
                <w:color w:val="000000"/>
                <w:sz w:val="18"/>
              </w:rPr>
              <w:t>Commercial Accountability. Accountable for credit outcomes; signs Gate 5 production deployment; owns residual risk.</w:t>
            </w:r>
          </w:p>
        </w:tc>
      </w:tr>
      <w:tr w:rsidR="003C36EF" w14:paraId="5A46DD95"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59DDA3A5" w14:textId="77777777" w:rsidR="003C36EF" w:rsidRDefault="00000000">
            <w:r>
              <w:rPr>
                <w:rFonts w:ascii="Calibri" w:hAnsi="Calibri"/>
                <w:b/>
                <w:color w:val="1F3864"/>
                <w:sz w:val="18"/>
              </w:rPr>
              <w:t>Internal Audit (Third Line)</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6DBD353" w14:textId="77777777" w:rsidR="003C36EF" w:rsidRDefault="00000000">
            <w:r>
              <w:rPr>
                <w:rFonts w:ascii="Calibri" w:hAnsi="Calibri"/>
                <w:color w:val="000000"/>
                <w:sz w:val="18"/>
              </w:rPr>
              <w:t>Independent Assurance. Audits control effectiveness (not mere existence); reports directly to Board Audit Committee under Charter A-31.</w:t>
            </w:r>
          </w:p>
        </w:tc>
      </w:tr>
    </w:tbl>
    <w:p w14:paraId="6BAF9370" w14:textId="77777777" w:rsidR="003C36EF" w:rsidRDefault="003C36EF"/>
    <w:p w14:paraId="49B8289F" w14:textId="77777777" w:rsidR="003C36EF" w:rsidRDefault="00000000">
      <w:pPr>
        <w:spacing w:after="80"/>
      </w:pPr>
      <w:r>
        <w:rPr>
          <w:rFonts w:ascii="Calibri" w:hAnsi="Calibri"/>
          <w:b/>
          <w:color w:val="1F3864"/>
          <w:sz w:val="28"/>
        </w:rPr>
        <w:t>6. Non-Compliance, Technical Exceptions &amp; Incident Escalation</w:t>
      </w:r>
    </w:p>
    <w:p w14:paraId="38FB3C32" w14:textId="77777777" w:rsidR="003C36EF" w:rsidRDefault="00000000">
      <w:pPr>
        <w:spacing w:after="80"/>
      </w:pPr>
      <w:r>
        <w:rPr>
          <w:rFonts w:ascii="Calibri" w:hAnsi="Calibri"/>
          <w:sz w:val="20"/>
        </w:rPr>
        <w:t>Deploying or invoking an AI system outside this governance framework is treated as a material control breach, not a process variance. The system is suspended instantaneously via IAM policy revocation (A-34) pending committee investigation. Where a breach is deliberate, it is escalated under the bank's formal Conduct Framework.</w:t>
      </w:r>
    </w:p>
    <w:p w14:paraId="19411B3D" w14:textId="77777777" w:rsidR="003C36EF" w:rsidRDefault="00000000">
      <w:pPr>
        <w:spacing w:after="40"/>
      </w:pPr>
      <w:r>
        <w:rPr>
          <w:rFonts w:ascii="Calibri" w:hAnsi="Calibri"/>
          <w:b/>
          <w:color w:val="9C0006"/>
        </w:rPr>
        <w:t>6.1. Time-Bound Exceptions &amp; 24-Hour Regulatory Incident SLA</w:t>
      </w:r>
    </w:p>
    <w:p w14:paraId="71BEBB2A" w14:textId="77777777" w:rsidR="003C36EF" w:rsidRDefault="00000000">
      <w:r>
        <w:rPr>
          <w:rFonts w:ascii="Calibri" w:hAnsi="Calibri"/>
          <w:sz w:val="19"/>
        </w:rPr>
        <w:t xml:space="preserve">Exceptions: Any policy exception must be requested in writing via the GRC register, specify compensating safeguards, and be approved by the AIGC. Exceptions are strictly time-bound (maximum 12 months without formal re-justification). Incident Reporting: Confirmed P1/P2 incidents—including disparate impact violations (DIR &lt; 0.80), un-guardrailed invocations, or PII </w:t>
      </w:r>
      <w:r>
        <w:rPr>
          <w:rFonts w:ascii="Calibri" w:hAnsi="Calibri"/>
          <w:sz w:val="19"/>
        </w:rPr>
        <w:lastRenderedPageBreak/>
        <w:t>leaks—must be escalated to the CISO, DPO, and AIGC within 24 hours of discovery, activating statutory clocks under GDPR Art. 33 and MAS TRM Ch. 13.</w:t>
      </w:r>
    </w:p>
    <w:p w14:paraId="3D1F2974" w14:textId="77777777" w:rsidR="003C36EF" w:rsidRDefault="00000000">
      <w:pPr>
        <w:spacing w:after="80"/>
      </w:pPr>
      <w:r>
        <w:rPr>
          <w:rFonts w:ascii="Calibri" w:hAnsi="Calibri"/>
          <w:b/>
          <w:color w:val="1F3864"/>
          <w:sz w:val="28"/>
        </w:rPr>
        <w:t>7. Annual Review and Regulatory Horizon Scanning</w:t>
      </w:r>
    </w:p>
    <w:p w14:paraId="6F860FE5" w14:textId="77777777" w:rsidR="003C36EF" w:rsidRDefault="00000000">
      <w:pPr>
        <w:spacing w:after="240"/>
      </w:pPr>
      <w:r>
        <w:rPr>
          <w:rFonts w:ascii="Calibri" w:hAnsi="Calibri"/>
          <w:sz w:val="20"/>
        </w:rPr>
        <w:t>This Policy is subject to formal review annually, and immediately upon any material change to global AI regulations (e.g., EU AI Act high-risk enforcement dates, revised MAS FEAT supervisory guidance, or updated ISO/IEC 42001 standards). The review explicitly re-verifies every statutory date and compliance obligation across the subordinate document estate. Substantive amendments require unanimous recommendation by the AI Governance Committee and formal ratification by the Board of Directors.</w:t>
      </w:r>
    </w:p>
    <w:sectPr w:rsidR="003C36EF"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5720256">
    <w:abstractNumId w:val="8"/>
  </w:num>
  <w:num w:numId="2" w16cid:durableId="1986274508">
    <w:abstractNumId w:val="6"/>
  </w:num>
  <w:num w:numId="3" w16cid:durableId="837816097">
    <w:abstractNumId w:val="5"/>
  </w:num>
  <w:num w:numId="4" w16cid:durableId="246043010">
    <w:abstractNumId w:val="4"/>
  </w:num>
  <w:num w:numId="5" w16cid:durableId="633100185">
    <w:abstractNumId w:val="7"/>
  </w:num>
  <w:num w:numId="6" w16cid:durableId="880557046">
    <w:abstractNumId w:val="3"/>
  </w:num>
  <w:num w:numId="7" w16cid:durableId="2035382294">
    <w:abstractNumId w:val="2"/>
  </w:num>
  <w:num w:numId="8" w16cid:durableId="777480854">
    <w:abstractNumId w:val="1"/>
  </w:num>
  <w:num w:numId="9" w16cid:durableId="20579265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36EF"/>
    <w:rsid w:val="00661542"/>
    <w:rsid w:val="00AA1D8D"/>
    <w:rsid w:val="00B47730"/>
    <w:rsid w:val="00CB0664"/>
    <w:rsid w:val="00FC693F"/>
    <w:rsid w:val="00FD7B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E5BC48"/>
  <w14:defaultImageDpi w14:val="300"/>
  <w15:docId w15:val="{50DB651D-797A-454A-ADC7-CC3793C2D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1758</Words>
  <Characters>10023</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Rity Shree</cp:lastModifiedBy>
  <cp:revision>2</cp:revision>
  <dcterms:created xsi:type="dcterms:W3CDTF">2013-12-23T23:15:00Z</dcterms:created>
  <dcterms:modified xsi:type="dcterms:W3CDTF">2026-09-14T15:00:00Z</dcterms:modified>
  <cp:category/>
</cp:coreProperties>
</file>