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5CECE" w14:textId="77777777" w:rsidR="0056200E" w:rsidRDefault="00000000">
      <w:pPr>
        <w:spacing w:after="40"/>
      </w:pPr>
      <w:r>
        <w:rPr>
          <w:rFonts w:ascii="Calibri" w:hAnsi="Calibri"/>
          <w:b/>
          <w:color w:val="1F3864"/>
          <w:sz w:val="40"/>
        </w:rPr>
        <w:t>AI Governance Committee Charter</w:t>
      </w:r>
    </w:p>
    <w:p w14:paraId="638B6158" w14:textId="77777777" w:rsidR="0056200E" w:rsidRDefault="00000000">
      <w:pPr>
        <w:spacing w:after="240"/>
      </w:pPr>
      <w:r>
        <w:rPr>
          <w:rFonts w:ascii="Calibri" w:hAnsi="Calibri"/>
          <w:i/>
          <w:color w:val="595959"/>
          <w:sz w:val="23"/>
        </w:rPr>
        <w:t>Credit Decisioning Assistant (CDA) Framework — Artefact A-26, v1.2</w:t>
      </w:r>
    </w:p>
    <w:tbl>
      <w:tblPr>
        <w:tblW w:w="0" w:type="auto"/>
        <w:jc w:val="center"/>
        <w:tblLook w:val="04A0" w:firstRow="1" w:lastRow="0" w:firstColumn="1" w:lastColumn="0" w:noHBand="0" w:noVBand="1"/>
      </w:tblPr>
      <w:tblGrid>
        <w:gridCol w:w="4968"/>
        <w:gridCol w:w="4968"/>
      </w:tblGrid>
      <w:tr w:rsidR="0056200E" w14:paraId="770C9ED0"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52259C3" w14:textId="77777777" w:rsidR="0056200E" w:rsidRDefault="00000000">
            <w:r>
              <w:rPr>
                <w:rFonts w:ascii="Calibri" w:hAnsi="Calibri"/>
                <w:b/>
                <w:color w:val="FFFFFF"/>
                <w:sz w:val="20"/>
              </w:rPr>
              <w:t>Field</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1DA8427" w14:textId="77777777" w:rsidR="0056200E" w:rsidRDefault="00000000">
            <w:r>
              <w:rPr>
                <w:rFonts w:ascii="Calibri" w:hAnsi="Calibri"/>
                <w:b/>
                <w:color w:val="FFFFFF"/>
                <w:sz w:val="20"/>
              </w:rPr>
              <w:t>Detail</w:t>
            </w:r>
          </w:p>
        </w:tc>
      </w:tr>
      <w:tr w:rsidR="0056200E" w14:paraId="3A2BB5E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A3578D0" w14:textId="77777777" w:rsidR="0056200E" w:rsidRDefault="00000000">
            <w:r>
              <w:rPr>
                <w:rFonts w:ascii="Calibri" w:hAnsi="Calibri"/>
                <w:b/>
                <w:color w:val="1F3864"/>
                <w:sz w:val="19"/>
              </w:rPr>
              <w:t>Artefact ID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068A917" w14:textId="77777777" w:rsidR="0056200E" w:rsidRDefault="00000000">
            <w:r>
              <w:rPr>
                <w:rFonts w:ascii="Calibri" w:hAnsi="Calibri"/>
                <w:color w:val="000000"/>
                <w:sz w:val="19"/>
              </w:rPr>
              <w:t>A-26</w:t>
            </w:r>
          </w:p>
        </w:tc>
      </w:tr>
      <w:tr w:rsidR="0056200E" w14:paraId="4F747E5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9EEB4B0" w14:textId="77777777" w:rsidR="0056200E" w:rsidRDefault="00000000">
            <w:r>
              <w:rPr>
                <w:rFonts w:ascii="Calibri" w:hAnsi="Calibri"/>
                <w:b/>
                <w:color w:val="1F3864"/>
                <w:sz w:val="19"/>
              </w:rPr>
              <w:t>Title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596A63F" w14:textId="77777777" w:rsidR="0056200E" w:rsidRDefault="00000000">
            <w:r>
              <w:rPr>
                <w:rFonts w:ascii="Calibri" w:hAnsi="Calibri"/>
                <w:color w:val="000000"/>
                <w:sz w:val="19"/>
              </w:rPr>
              <w:t>AI Governance Committee Charter</w:t>
            </w:r>
          </w:p>
        </w:tc>
      </w:tr>
      <w:tr w:rsidR="0056200E" w14:paraId="0B253FDD"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32016C4" w14:textId="77777777" w:rsidR="0056200E" w:rsidRDefault="00000000">
            <w:r>
              <w:rPr>
                <w:rFonts w:ascii="Calibri" w:hAnsi="Calibri"/>
                <w:b/>
                <w:color w:val="1F3864"/>
                <w:sz w:val="19"/>
              </w:rPr>
              <w:t>System Governed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1162F66" w14:textId="77777777" w:rsidR="0056200E" w:rsidRDefault="00000000">
            <w:r>
              <w:rPr>
                <w:rFonts w:ascii="Calibri" w:hAnsi="Calibri"/>
                <w:color w:val="000000"/>
                <w:sz w:val="19"/>
              </w:rPr>
              <w:t>Credit Decisioning Assistant (CDA) — hybrid deterministic XGBoost scoring + AWS Bedrock (Claude) RAG narration supporting retail credit decisions (~870,000 annual applicants)</w:t>
            </w:r>
          </w:p>
        </w:tc>
      </w:tr>
      <w:tr w:rsidR="0056200E" w14:paraId="7E66DC0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F0FB2AA" w14:textId="77777777" w:rsidR="0056200E" w:rsidRDefault="00000000">
            <w:r>
              <w:rPr>
                <w:rFonts w:ascii="Calibri" w:hAnsi="Calibri"/>
                <w:b/>
                <w:color w:val="1F3864"/>
                <w:sz w:val="19"/>
              </w:rPr>
              <w:t>Document Owner</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845F223" w14:textId="77777777" w:rsidR="0056200E" w:rsidRDefault="00000000">
            <w:r>
              <w:rPr>
                <w:rFonts w:ascii="Calibri" w:hAnsi="Calibri"/>
                <w:color w:val="000000"/>
                <w:sz w:val="19"/>
              </w:rPr>
              <w:t>AI Governance Committee Chair (Head of Model Risk)</w:t>
            </w:r>
          </w:p>
        </w:tc>
      </w:tr>
      <w:tr w:rsidR="0056200E" w14:paraId="6C003026"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B1455BB" w14:textId="77777777" w:rsidR="0056200E" w:rsidRDefault="00000000">
            <w:r>
              <w:rPr>
                <w:rFonts w:ascii="Calibri" w:hAnsi="Calibri"/>
                <w:b/>
                <w:color w:val="1F3864"/>
                <w:sz w:val="19"/>
              </w:rPr>
              <w:t>Approving Authority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629C890" w14:textId="77777777" w:rsidR="0056200E" w:rsidRDefault="00000000">
            <w:r>
              <w:rPr>
                <w:rFonts w:ascii="Calibri" w:hAnsi="Calibri"/>
                <w:color w:val="000000"/>
                <w:sz w:val="19"/>
              </w:rPr>
              <w:t>Board Risk Committee, ratified by Executive Committee (ExCo)</w:t>
            </w:r>
          </w:p>
        </w:tc>
      </w:tr>
      <w:tr w:rsidR="0056200E" w14:paraId="1214B89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E441AF6" w14:textId="77777777" w:rsidR="0056200E" w:rsidRDefault="00000000">
            <w:r>
              <w:rPr>
                <w:rFonts w:ascii="Calibri" w:hAnsi="Calibri"/>
                <w:b/>
                <w:color w:val="1F3864"/>
                <w:sz w:val="19"/>
              </w:rPr>
              <w:t>Classification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CB44A1" w14:textId="77777777" w:rsidR="0056200E" w:rsidRDefault="00000000">
            <w:r>
              <w:rPr>
                <w:rFonts w:ascii="Calibri" w:hAnsi="Calibri"/>
                <w:color w:val="000000"/>
                <w:sz w:val="19"/>
              </w:rPr>
              <w:t>Internal — Enterprise AI Governance &amp; Oversight Framework</w:t>
            </w:r>
          </w:p>
        </w:tc>
      </w:tr>
      <w:tr w:rsidR="0056200E" w14:paraId="3BD92F05"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FFA6C78" w14:textId="77777777" w:rsidR="0056200E" w:rsidRDefault="00000000">
            <w:r>
              <w:rPr>
                <w:rFonts w:ascii="Calibri" w:hAnsi="Calibri"/>
                <w:b/>
                <w:color w:val="1F3864"/>
                <w:sz w:val="19"/>
              </w:rPr>
              <w:t>Regulatory Basis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201BDA" w14:textId="77777777" w:rsidR="0056200E" w:rsidRDefault="00000000">
            <w:r>
              <w:rPr>
                <w:rFonts w:ascii="Calibri" w:hAnsi="Calibri"/>
                <w:color w:val="000000"/>
                <w:sz w:val="19"/>
              </w:rPr>
              <w:t>EU AI Act Art. 26 (Deployer Obligations); ISO/IEC 42001 Cl. 5 (Leadership &amp; Governance); NIST AI RMF GOVERN 2.1; MAS TRM Ch. 3 (Board &amp; Senior Management Oversight); MAS FEAT Accountability</w:t>
            </w:r>
          </w:p>
        </w:tc>
      </w:tr>
      <w:tr w:rsidR="0056200E" w14:paraId="1D3B239D"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5EDAED5" w14:textId="77777777" w:rsidR="0056200E" w:rsidRDefault="00000000">
            <w:r>
              <w:rPr>
                <w:rFonts w:ascii="Calibri" w:hAnsi="Calibri"/>
                <w:b/>
                <w:color w:val="1F3864"/>
                <w:sz w:val="19"/>
              </w:rPr>
              <w:t>Review Cycle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58D6F4" w14:textId="77777777" w:rsidR="0056200E" w:rsidRDefault="00000000">
            <w:r>
              <w:rPr>
                <w:rFonts w:ascii="Calibri" w:hAnsi="Calibri"/>
                <w:color w:val="000000"/>
                <w:sz w:val="19"/>
              </w:rPr>
              <w:t>Annual, or immediately upon any zero-appetite threshold breach or event trigger defined in Post-Deployment Monitoring Policy (A-30) §5</w:t>
            </w:r>
          </w:p>
        </w:tc>
      </w:tr>
      <w:tr w:rsidR="0056200E" w14:paraId="6AF5C0D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0D1F0C4" w14:textId="77777777" w:rsidR="0056200E" w:rsidRDefault="00000000">
            <w:r>
              <w:rPr>
                <w:rFonts w:ascii="Calibri" w:hAnsi="Calibri"/>
                <w:b/>
                <w:color w:val="1F3864"/>
                <w:sz w:val="19"/>
              </w:rPr>
              <w:t>Nature of Document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0E418F" w14:textId="77777777" w:rsidR="0056200E" w:rsidRDefault="00000000">
            <w:r>
              <w:rPr>
                <w:rFonts w:ascii="Calibri" w:hAnsi="Calibri"/>
                <w:color w:val="000000"/>
                <w:sz w:val="19"/>
              </w:rPr>
              <w:t>Governance design artefact produced as part of a worked portfolio example. Figures, dates, and named decisions demonstrate institutional oversight behavior and are internally consistent with Artifacts A-01 through A-44.</w:t>
            </w:r>
          </w:p>
        </w:tc>
      </w:tr>
    </w:tbl>
    <w:p w14:paraId="70F334A1" w14:textId="77777777" w:rsidR="0056200E" w:rsidRDefault="0056200E">
      <w:pPr>
        <w:spacing w:after="160"/>
      </w:pPr>
    </w:p>
    <w:p w14:paraId="3D370225" w14:textId="77777777" w:rsidR="0056200E" w:rsidRDefault="00000000">
      <w:pPr>
        <w:spacing w:after="80"/>
      </w:pPr>
      <w:r>
        <w:rPr>
          <w:rFonts w:ascii="Calibri" w:hAnsi="Calibri"/>
          <w:b/>
          <w:color w:val="1F3864"/>
          <w:sz w:val="26"/>
        </w:rPr>
        <w:t>Document Control &amp; Version History</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56200E" w14:paraId="6BC15DB0" w14:textId="77777777">
        <w:trPr>
          <w:jc w:val="center"/>
        </w:trPr>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25A1073" w14:textId="77777777" w:rsidR="0056200E" w:rsidRDefault="00000000">
            <w:pPr>
              <w:jc w:val="center"/>
            </w:pPr>
            <w:r>
              <w:rPr>
                <w:rFonts w:ascii="Calibri" w:hAnsi="Calibri"/>
                <w:b/>
                <w:color w:val="FFFFFF"/>
                <w:sz w:val="19"/>
              </w:rPr>
              <w:t>Version</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435B86F" w14:textId="77777777" w:rsidR="0056200E" w:rsidRDefault="00000000">
            <w:pPr>
              <w:jc w:val="center"/>
            </w:pPr>
            <w:r>
              <w:rPr>
                <w:rFonts w:ascii="Calibri" w:hAnsi="Calibri"/>
                <w:b/>
                <w:color w:val="FFFFFF"/>
                <w:sz w:val="19"/>
              </w:rPr>
              <w:t>Date</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BF15E0F" w14:textId="77777777" w:rsidR="0056200E" w:rsidRDefault="00000000">
            <w:pPr>
              <w:jc w:val="center"/>
            </w:pPr>
            <w:r>
              <w:rPr>
                <w:rFonts w:ascii="Calibri" w:hAnsi="Calibri"/>
                <w:b/>
                <w:color w:val="FFFFFF"/>
                <w:sz w:val="19"/>
              </w:rPr>
              <w:t>Author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5B226DC" w14:textId="77777777" w:rsidR="0056200E" w:rsidRDefault="00000000">
            <w:pPr>
              <w:jc w:val="center"/>
            </w:pPr>
            <w:r>
              <w:rPr>
                <w:rFonts w:ascii="Calibri" w:hAnsi="Calibri"/>
                <w:b/>
                <w:color w:val="FFFFFF"/>
                <w:sz w:val="19"/>
              </w:rPr>
              <w:t>Reviewer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E89B5B6" w14:textId="77777777" w:rsidR="0056200E" w:rsidRDefault="00000000">
            <w:pPr>
              <w:jc w:val="center"/>
            </w:pPr>
            <w:r>
              <w:rPr>
                <w:rFonts w:ascii="Calibri" w:hAnsi="Calibri"/>
                <w:b/>
                <w:color w:val="FFFFFF"/>
                <w:sz w:val="19"/>
              </w:rPr>
              <w:t>Approver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40D07A0" w14:textId="77777777" w:rsidR="0056200E" w:rsidRDefault="00000000">
            <w:pPr>
              <w:jc w:val="center"/>
            </w:pPr>
            <w:r>
              <w:rPr>
                <w:rFonts w:ascii="Calibri" w:hAnsi="Calibri"/>
                <w:b/>
                <w:color w:val="FFFFFF"/>
                <w:sz w:val="19"/>
              </w:rPr>
              <w:t>Status</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2EA2606" w14:textId="77777777" w:rsidR="0056200E" w:rsidRDefault="00000000">
            <w:pPr>
              <w:jc w:val="center"/>
            </w:pPr>
            <w:r>
              <w:rPr>
                <w:rFonts w:ascii="Calibri" w:hAnsi="Calibri"/>
                <w:b/>
                <w:color w:val="FFFFFF"/>
                <w:sz w:val="19"/>
              </w:rPr>
              <w:t xml:space="preserve">Change </w:t>
            </w:r>
            <w:r>
              <w:rPr>
                <w:rFonts w:ascii="Calibri" w:hAnsi="Calibri"/>
                <w:b/>
                <w:color w:val="FFFFFF"/>
                <w:sz w:val="19"/>
              </w:rPr>
              <w:lastRenderedPageBreak/>
              <w:t>Summary</w:t>
            </w:r>
          </w:p>
        </w:tc>
      </w:tr>
      <w:tr w:rsidR="0056200E" w14:paraId="7D90044A"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4341AE7" w14:textId="77777777" w:rsidR="0056200E" w:rsidRDefault="00000000">
            <w:pPr>
              <w:jc w:val="center"/>
            </w:pPr>
            <w:r>
              <w:rPr>
                <w:rFonts w:ascii="Calibri" w:hAnsi="Calibri"/>
                <w:b/>
                <w:color w:val="000000"/>
                <w:sz w:val="18"/>
              </w:rPr>
              <w:lastRenderedPageBreak/>
              <w:t>v1.0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F90B54" w14:textId="77777777" w:rsidR="0056200E" w:rsidRDefault="00000000">
            <w:pPr>
              <w:jc w:val="center"/>
            </w:pPr>
            <w:r>
              <w:rPr>
                <w:rFonts w:ascii="Calibri" w:hAnsi="Calibri"/>
                <w:color w:val="000000"/>
                <w:sz w:val="18"/>
              </w:rPr>
              <w:t>2026-01-12</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344F4A" w14:textId="77777777" w:rsidR="0056200E"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D27F15" w14:textId="77777777" w:rsidR="0056200E" w:rsidRDefault="00000000">
            <w:r>
              <w:rPr>
                <w:rFonts w:ascii="Calibri" w:hAnsi="Calibri"/>
                <w:color w:val="000000"/>
                <w:sz w:val="18"/>
              </w:rPr>
              <w:t>Company Secretary</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62211F" w14:textId="77777777" w:rsidR="0056200E" w:rsidRDefault="00000000">
            <w:r>
              <w:rPr>
                <w:rFonts w:ascii="Calibri" w:hAnsi="Calibri"/>
                <w:color w:val="000000"/>
                <w:sz w:val="18"/>
              </w:rPr>
              <w:t>Board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9D6999" w14:textId="77777777" w:rsidR="0056200E" w:rsidRDefault="00000000">
            <w:pPr>
              <w:jc w:val="center"/>
            </w:pPr>
            <w:r>
              <w:rPr>
                <w:rFonts w:ascii="Calibri" w:hAnsi="Calibri"/>
                <w:color w:val="000000"/>
                <w:sz w:val="18"/>
              </w:rPr>
              <w:t>Superseded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E8C30F" w14:textId="77777777" w:rsidR="0056200E" w:rsidRDefault="00000000">
            <w:r>
              <w:rPr>
                <w:rFonts w:ascii="Calibri" w:hAnsi="Calibri"/>
                <w:color w:val="000000"/>
                <w:sz w:val="18"/>
              </w:rPr>
              <w:t>Initial charter establishing high-level oversight mandate.</w:t>
            </w:r>
          </w:p>
        </w:tc>
      </w:tr>
      <w:tr w:rsidR="0056200E" w14:paraId="5F65A798"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01962D" w14:textId="77777777" w:rsidR="0056200E" w:rsidRDefault="00000000">
            <w:pPr>
              <w:jc w:val="center"/>
            </w:pPr>
            <w:r>
              <w:rPr>
                <w:rFonts w:ascii="Calibri" w:hAnsi="Calibri"/>
                <w:b/>
                <w:color w:val="000000"/>
                <w:sz w:val="18"/>
              </w:rPr>
              <w:t>v1.1</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CEB0999" w14:textId="77777777" w:rsidR="0056200E" w:rsidRDefault="00000000">
            <w:pPr>
              <w:jc w:val="center"/>
            </w:pPr>
            <w:r>
              <w:rPr>
                <w:rFonts w:ascii="Calibri" w:hAnsi="Calibri"/>
                <w:color w:val="000000"/>
                <w:sz w:val="18"/>
              </w:rPr>
              <w:t>2026-09-10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FDC16D7" w14:textId="77777777" w:rsidR="0056200E"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64EB15" w14:textId="77777777" w:rsidR="0056200E" w:rsidRDefault="00000000">
            <w:r>
              <w:rPr>
                <w:rFonts w:ascii="Calibri" w:hAnsi="Calibri"/>
                <w:color w:val="000000"/>
                <w:sz w:val="18"/>
              </w:rPr>
              <w:t>Company Secretary; Legal</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F9B4836" w14:textId="77777777" w:rsidR="0056200E" w:rsidRDefault="00000000">
            <w:r>
              <w:rPr>
                <w:rFonts w:ascii="Calibri" w:hAnsi="Calibri"/>
                <w:color w:val="000000"/>
                <w:sz w:val="18"/>
              </w:rPr>
              <w:t>Board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32E39AE" w14:textId="77777777" w:rsidR="0056200E" w:rsidRDefault="00000000">
            <w:pPr>
              <w:jc w:val="center"/>
            </w:pPr>
            <w:r>
              <w:rPr>
                <w:rFonts w:ascii="Calibri" w:hAnsi="Calibri"/>
                <w:color w:val="000000"/>
                <w:sz w:val="18"/>
              </w:rPr>
              <w:t>Superseded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6777A5" w14:textId="77777777" w:rsidR="0056200E" w:rsidRDefault="00000000">
            <w:r>
              <w:rPr>
                <w:rFonts w:ascii="Calibri" w:hAnsi="Calibri"/>
                <w:color w:val="000000"/>
                <w:sz w:val="18"/>
              </w:rPr>
              <w:t>Decision rights mapped to D1–D7 lifecycle points; four-eyes rule and dissent recording made explicit.</w:t>
            </w:r>
          </w:p>
        </w:tc>
      </w:tr>
    </w:tbl>
    <w:p w14:paraId="2B8FE3A1" w14:textId="77777777" w:rsidR="0056200E" w:rsidRDefault="0056200E"/>
    <w:p w14:paraId="4A1C529B" w14:textId="77777777" w:rsidR="0056200E" w:rsidRDefault="00000000">
      <w:pPr>
        <w:spacing w:after="80"/>
      </w:pPr>
      <w:r>
        <w:rPr>
          <w:rFonts w:ascii="Calibri" w:hAnsi="Calibri"/>
          <w:b/>
          <w:color w:val="1F3864"/>
          <w:sz w:val="28"/>
        </w:rPr>
        <w:t>1. Authority and Institutional Purpose</w:t>
      </w:r>
    </w:p>
    <w:p w14:paraId="3B99EA36" w14:textId="77777777" w:rsidR="0056200E" w:rsidRDefault="00000000">
      <w:pPr>
        <w:spacing w:after="80"/>
      </w:pPr>
      <w:r>
        <w:rPr>
          <w:rFonts w:ascii="Calibri" w:hAnsi="Calibri"/>
          <w:sz w:val="20"/>
        </w:rPr>
        <w:t>The AI Governance Committee (AIGC) is a permanent, senior executive body established by the Board of Directors and deriving its operational mandate from the apex AI Governance Policy (A-23). It holds binding approval and release authority at every formal gate across the AI lifecycle (D1–D7 / Gates 1–5), as well as the unilateral authority to order the immediate suspension, emergency kill-switch invocation, or permanent withdrawal of any AI system in the organisation.</w:t>
      </w:r>
    </w:p>
    <w:p w14:paraId="1ABAF4A8" w14:textId="77777777" w:rsidR="0056200E" w:rsidRDefault="00000000">
      <w:pPr>
        <w:spacing w:after="160"/>
      </w:pPr>
      <w:r>
        <w:rPr>
          <w:rFonts w:ascii="Calibri" w:hAnsi="Calibri"/>
          <w:sz w:val="20"/>
        </w:rPr>
        <w:t>The Committee's most important institutional power is the one it is least often asked to exercise: the authority to block progression under commercial delivery pressure. A governance committee that has approved every model presented to it has not established that it possesses independent authority. This Committee has demonstrated that authority in practice, halting progression at Gate 2 for 11 days upon detecting a disparate impact ratio of 0.67, and rejecting use case UC-002 (autonomous credit decisioning) outright during Phase 1 screening.</w:t>
      </w:r>
    </w:p>
    <w:p w14:paraId="11489F1C" w14:textId="77777777" w:rsidR="0056200E" w:rsidRDefault="00000000">
      <w:pPr>
        <w:spacing w:after="80"/>
      </w:pPr>
      <w:r>
        <w:rPr>
          <w:rFonts w:ascii="Calibri" w:hAnsi="Calibri"/>
          <w:b/>
          <w:color w:val="1F3864"/>
          <w:sz w:val="28"/>
        </w:rPr>
        <w:t>2. Committee Composition, Membership, and Quorum Rules</w:t>
      </w:r>
    </w:p>
    <w:p w14:paraId="2A0CB2FD" w14:textId="77777777" w:rsidR="0056200E" w:rsidRDefault="00000000">
      <w:pPr>
        <w:spacing w:after="120"/>
      </w:pPr>
      <w:r>
        <w:rPr>
          <w:rFonts w:ascii="Calibri" w:hAnsi="Calibri"/>
          <w:sz w:val="20"/>
        </w:rPr>
        <w:t>In accordance with MAS TRM Chapter 3 and EU AI Act Article 26(5), the Committee brings together cross-functional senior leadership across risk, compliance, privacy, cybersecurity, and business operations to ensure comprehensive second-line challenge:</w:t>
      </w:r>
    </w:p>
    <w:tbl>
      <w:tblPr>
        <w:tblW w:w="0" w:type="auto"/>
        <w:jc w:val="center"/>
        <w:tblLook w:val="04A0" w:firstRow="1" w:lastRow="0" w:firstColumn="1" w:lastColumn="0" w:noHBand="0" w:noVBand="1"/>
      </w:tblPr>
      <w:tblGrid>
        <w:gridCol w:w="2484"/>
        <w:gridCol w:w="2484"/>
        <w:gridCol w:w="2484"/>
        <w:gridCol w:w="2484"/>
      </w:tblGrid>
      <w:tr w:rsidR="0056200E" w14:paraId="64E20FC5"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43B6821" w14:textId="77777777" w:rsidR="0056200E" w:rsidRDefault="00000000">
            <w:r>
              <w:rPr>
                <w:rFonts w:ascii="Calibri" w:hAnsi="Calibri"/>
                <w:b/>
                <w:color w:val="FFFFFF"/>
                <w:sz w:val="19"/>
              </w:rPr>
              <w:t>Committee Role &amp; Title</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6169A1F" w14:textId="77777777" w:rsidR="0056200E" w:rsidRDefault="00000000">
            <w:pPr>
              <w:jc w:val="center"/>
            </w:pPr>
            <w:r>
              <w:rPr>
                <w:rFonts w:ascii="Calibri" w:hAnsi="Calibri"/>
                <w:b/>
                <w:color w:val="FFFFFF"/>
                <w:sz w:val="19"/>
              </w:rPr>
              <w:t>Standing Member</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C2372D4" w14:textId="77777777" w:rsidR="0056200E" w:rsidRDefault="00000000">
            <w:pPr>
              <w:jc w:val="center"/>
            </w:pPr>
            <w:r>
              <w:rPr>
                <w:rFonts w:ascii="Calibri" w:hAnsi="Calibri"/>
                <w:b/>
                <w:color w:val="FFFFFF"/>
                <w:sz w:val="19"/>
              </w:rPr>
              <w:t>Voting Status</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6F8E125" w14:textId="77777777" w:rsidR="0056200E" w:rsidRDefault="00000000">
            <w:r>
              <w:rPr>
                <w:rFonts w:ascii="Calibri" w:hAnsi="Calibri"/>
                <w:b/>
                <w:color w:val="FFFFFF"/>
                <w:sz w:val="19"/>
              </w:rPr>
              <w:t>Governance Mandate &amp; Role in CDA</w:t>
            </w:r>
          </w:p>
        </w:tc>
      </w:tr>
      <w:tr w:rsidR="0056200E" w14:paraId="0E2803C6"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F83F5C5" w14:textId="77777777" w:rsidR="0056200E" w:rsidRDefault="00000000">
            <w:r>
              <w:rPr>
                <w:rFonts w:ascii="Calibri" w:hAnsi="Calibri"/>
                <w:b/>
                <w:color w:val="1F3864"/>
                <w:sz w:val="18"/>
              </w:rPr>
              <w:t>Chair — Head of Model Risk</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78746A" w14:textId="77777777" w:rsidR="0056200E" w:rsidRDefault="00000000">
            <w:pPr>
              <w:jc w:val="center"/>
            </w:pPr>
            <w:r>
              <w:rPr>
                <w:rFonts w:ascii="Calibri" w:hAnsi="Calibri"/>
                <w:color w:val="000000"/>
                <w:sz w:val="18"/>
              </w:rPr>
              <w:t>Yes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C16C4EC" w14:textId="77777777" w:rsidR="0056200E" w:rsidRDefault="00000000">
            <w:pPr>
              <w:jc w:val="center"/>
            </w:pPr>
            <w:r>
              <w:rPr>
                <w:rFonts w:ascii="Calibri" w:hAnsi="Calibri"/>
                <w:color w:val="000000"/>
                <w:sz w:val="18"/>
              </w:rPr>
              <w:t>Yes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08D7756" w14:textId="77777777" w:rsidR="0056200E" w:rsidRDefault="00000000">
            <w:r>
              <w:rPr>
                <w:rFonts w:ascii="Calibri" w:hAnsi="Calibri"/>
                <w:color w:val="000000"/>
                <w:sz w:val="18"/>
              </w:rPr>
              <w:t>Presides over all meetings; holds casting vote in ties. Assesses statistical rigor, calibration, and drift.</w:t>
            </w:r>
          </w:p>
        </w:tc>
      </w:tr>
      <w:tr w:rsidR="0056200E" w14:paraId="6422D1D9"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0257B21" w14:textId="77777777" w:rsidR="0056200E" w:rsidRDefault="00000000">
            <w:r>
              <w:rPr>
                <w:rFonts w:ascii="Calibri" w:hAnsi="Calibri"/>
                <w:b/>
                <w:color w:val="1F3864"/>
                <w:sz w:val="18"/>
              </w:rPr>
              <w:t>Chief Risk Officer (CRO)</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F15D4F" w14:textId="77777777" w:rsidR="0056200E" w:rsidRDefault="00000000">
            <w:pPr>
              <w:jc w:val="center"/>
            </w:pPr>
            <w:r>
              <w:rPr>
                <w:rFonts w:ascii="Calibri" w:hAnsi="Calibri"/>
                <w:color w:val="000000"/>
                <w:sz w:val="18"/>
              </w:rPr>
              <w:t>Yes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E955BA4" w14:textId="77777777" w:rsidR="0056200E" w:rsidRDefault="00000000">
            <w:pPr>
              <w:jc w:val="center"/>
            </w:pPr>
            <w:r>
              <w:rPr>
                <w:rFonts w:ascii="Calibri" w:hAnsi="Calibri"/>
                <w:color w:val="000000"/>
                <w:sz w:val="18"/>
              </w:rPr>
              <w:t>Yes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E98868" w14:textId="77777777" w:rsidR="0056200E" w:rsidRDefault="00000000">
            <w:r>
              <w:rPr>
                <w:rFonts w:ascii="Calibri" w:hAnsi="Calibri"/>
                <w:color w:val="000000"/>
                <w:sz w:val="18"/>
              </w:rPr>
              <w:t xml:space="preserve">Executive escalation </w:t>
            </w:r>
            <w:r>
              <w:rPr>
                <w:rFonts w:ascii="Calibri" w:hAnsi="Calibri"/>
                <w:color w:val="000000"/>
                <w:sz w:val="18"/>
              </w:rPr>
              <w:lastRenderedPageBreak/>
              <w:t>authority; confirms enterprise risk appetite alignment and signs Gate 5 go-live.</w:t>
            </w:r>
          </w:p>
        </w:tc>
      </w:tr>
      <w:tr w:rsidR="0056200E" w14:paraId="4E491747"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6D96A65" w14:textId="77777777" w:rsidR="0056200E" w:rsidRDefault="00000000">
            <w:r>
              <w:rPr>
                <w:rFonts w:ascii="Calibri" w:hAnsi="Calibri"/>
                <w:b/>
                <w:color w:val="1F3864"/>
                <w:sz w:val="18"/>
              </w:rPr>
              <w:lastRenderedPageBreak/>
              <w:t>Head of Compliance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D36221" w14:textId="77777777" w:rsidR="0056200E" w:rsidRDefault="00000000">
            <w:pPr>
              <w:jc w:val="center"/>
            </w:pPr>
            <w:r>
              <w:rPr>
                <w:rFonts w:ascii="Calibri" w:hAnsi="Calibri"/>
                <w:color w:val="000000"/>
                <w:sz w:val="18"/>
              </w:rPr>
              <w:t>Yes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688A18" w14:textId="77777777" w:rsidR="0056200E" w:rsidRDefault="00000000">
            <w:pPr>
              <w:jc w:val="center"/>
            </w:pPr>
            <w:r>
              <w:rPr>
                <w:rFonts w:ascii="Calibri" w:hAnsi="Calibri"/>
                <w:color w:val="000000"/>
                <w:sz w:val="18"/>
              </w:rPr>
              <w:t>Yes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86892C" w14:textId="77777777" w:rsidR="0056200E" w:rsidRDefault="00000000">
            <w:r>
              <w:rPr>
                <w:rFonts w:ascii="Calibri" w:hAnsi="Calibri"/>
                <w:color w:val="000000"/>
                <w:sz w:val="18"/>
              </w:rPr>
              <w:t>Verifies regulatory adherence (MAS FEAT, EU AI Act, FCA); manages statutory disclosure clocks.</w:t>
            </w:r>
          </w:p>
        </w:tc>
      </w:tr>
      <w:tr w:rsidR="0056200E" w14:paraId="61A4A2BB"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50EE4C5" w14:textId="77777777" w:rsidR="0056200E" w:rsidRDefault="00000000">
            <w:r>
              <w:rPr>
                <w:rFonts w:ascii="Calibri" w:hAnsi="Calibri"/>
                <w:b/>
                <w:color w:val="1F3864"/>
                <w:sz w:val="18"/>
              </w:rPr>
              <w:t>Data Protection Officer (DPO)</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6B3B94" w14:textId="77777777" w:rsidR="0056200E" w:rsidRDefault="00000000">
            <w:pPr>
              <w:jc w:val="center"/>
            </w:pPr>
            <w:r>
              <w:rPr>
                <w:rFonts w:ascii="Calibri" w:hAnsi="Calibri"/>
                <w:color w:val="000000"/>
                <w:sz w:val="18"/>
              </w:rPr>
              <w:t>Yes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7D9405B" w14:textId="77777777" w:rsidR="0056200E" w:rsidRDefault="00000000">
            <w:pPr>
              <w:jc w:val="center"/>
            </w:pPr>
            <w:r>
              <w:rPr>
                <w:rFonts w:ascii="Calibri" w:hAnsi="Calibri"/>
                <w:color w:val="000000"/>
                <w:sz w:val="18"/>
              </w:rPr>
              <w:t>Yes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86C79D" w14:textId="77777777" w:rsidR="0056200E" w:rsidRDefault="00000000">
            <w:r>
              <w:rPr>
                <w:rFonts w:ascii="Calibri" w:hAnsi="Calibri"/>
                <w:color w:val="000000"/>
                <w:sz w:val="18"/>
              </w:rPr>
              <w:t>Mandatory signatory for any decision point involving personal data or RAG retrieval corpora; owns DPIA (A-35).</w:t>
            </w:r>
          </w:p>
        </w:tc>
      </w:tr>
      <w:tr w:rsidR="0056200E" w14:paraId="628BB0DE"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403D1D4" w14:textId="77777777" w:rsidR="0056200E" w:rsidRDefault="00000000">
            <w:r>
              <w:rPr>
                <w:rFonts w:ascii="Calibri" w:hAnsi="Calibri"/>
                <w:b/>
                <w:color w:val="1F3864"/>
                <w:sz w:val="18"/>
              </w:rPr>
              <w:t>Head of Security Architecture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956917" w14:textId="77777777" w:rsidR="0056200E" w:rsidRDefault="00000000">
            <w:pPr>
              <w:jc w:val="center"/>
            </w:pPr>
            <w:r>
              <w:rPr>
                <w:rFonts w:ascii="Calibri" w:hAnsi="Calibri"/>
                <w:color w:val="000000"/>
                <w:sz w:val="18"/>
              </w:rPr>
              <w:t>Yes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BED5E3C" w14:textId="77777777" w:rsidR="0056200E" w:rsidRDefault="00000000">
            <w:pPr>
              <w:jc w:val="center"/>
            </w:pPr>
            <w:r>
              <w:rPr>
                <w:rFonts w:ascii="Calibri" w:hAnsi="Calibri"/>
                <w:color w:val="000000"/>
                <w:sz w:val="18"/>
              </w:rPr>
              <w:t>Yes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C451D8E" w14:textId="77777777" w:rsidR="0056200E" w:rsidRDefault="00000000">
            <w:r>
              <w:rPr>
                <w:rFonts w:ascii="Calibri" w:hAnsi="Calibri"/>
                <w:color w:val="000000"/>
                <w:sz w:val="18"/>
              </w:rPr>
              <w:t>Required present for D3 (Architecture), D5 (Go-Live), and D6 (Monitoring); verifies IAM guardrail locks (A-39).</w:t>
            </w:r>
          </w:p>
        </w:tc>
      </w:tr>
      <w:tr w:rsidR="0056200E" w14:paraId="7F4141DD"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40D1E26" w14:textId="77777777" w:rsidR="0056200E" w:rsidRDefault="00000000">
            <w:r>
              <w:rPr>
                <w:rFonts w:ascii="Calibri" w:hAnsi="Calibri"/>
                <w:b/>
                <w:color w:val="1F3864"/>
                <w:sz w:val="18"/>
              </w:rPr>
              <w:t>AI Governance Lead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4A680E" w14:textId="77777777" w:rsidR="0056200E" w:rsidRDefault="00000000">
            <w:pPr>
              <w:jc w:val="center"/>
            </w:pPr>
            <w:r>
              <w:rPr>
                <w:rFonts w:ascii="Calibri" w:hAnsi="Calibri"/>
                <w:color w:val="000000"/>
                <w:sz w:val="18"/>
              </w:rPr>
              <w:t>Yes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F86A92C" w14:textId="77777777" w:rsidR="0056200E" w:rsidRDefault="00000000">
            <w:pPr>
              <w:jc w:val="center"/>
            </w:pPr>
            <w:r>
              <w:rPr>
                <w:rFonts w:ascii="Calibri" w:hAnsi="Calibri"/>
                <w:color w:val="000000"/>
                <w:sz w:val="18"/>
              </w:rPr>
              <w:t>No — Presents Evidence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C14A66C" w14:textId="77777777" w:rsidR="0056200E" w:rsidRDefault="00000000">
            <w:r>
              <w:rPr>
                <w:rFonts w:ascii="Calibri" w:hAnsi="Calibri"/>
                <w:color w:val="000000"/>
                <w:sz w:val="18"/>
              </w:rPr>
              <w:t>Presents technical evidence, maintains Risk Register (A-09) and Gate Log (A-28). Strictly non-voting under Section 4.</w:t>
            </w:r>
          </w:p>
        </w:tc>
      </w:tr>
      <w:tr w:rsidR="0056200E" w14:paraId="24FB9F05"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588CA2D" w14:textId="77777777" w:rsidR="0056200E" w:rsidRDefault="00000000">
            <w:r>
              <w:rPr>
                <w:rFonts w:ascii="Calibri" w:hAnsi="Calibri"/>
                <w:b/>
                <w:color w:val="1F3864"/>
                <w:sz w:val="18"/>
              </w:rPr>
              <w:t>Accountable Business Owner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BC0E2CF" w14:textId="77777777" w:rsidR="0056200E" w:rsidRDefault="00000000">
            <w:pPr>
              <w:jc w:val="center"/>
            </w:pPr>
            <w:r>
              <w:rPr>
                <w:rFonts w:ascii="Calibri" w:hAnsi="Calibri"/>
                <w:color w:val="000000"/>
                <w:sz w:val="18"/>
              </w:rPr>
              <w:t>By System</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C9FD75" w14:textId="77777777" w:rsidR="0056200E" w:rsidRDefault="00000000">
            <w:pPr>
              <w:jc w:val="center"/>
            </w:pPr>
            <w:r>
              <w:rPr>
                <w:rFonts w:ascii="Calibri" w:hAnsi="Calibri"/>
                <w:color w:val="000000"/>
                <w:sz w:val="18"/>
              </w:rPr>
              <w:t>Yes (at D5 / Gate 5 only)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D0D5ED4" w14:textId="77777777" w:rsidR="0056200E" w:rsidRDefault="00000000">
            <w:r>
              <w:rPr>
                <w:rFonts w:ascii="Calibri" w:hAnsi="Calibri"/>
                <w:color w:val="000000"/>
                <w:sz w:val="18"/>
              </w:rPr>
              <w:t>Head of Retail Credit Lending. Required co-signatory for production traffic authorization.</w:t>
            </w:r>
          </w:p>
        </w:tc>
      </w:tr>
      <w:tr w:rsidR="0056200E" w14:paraId="15220C00"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410388A" w14:textId="77777777" w:rsidR="0056200E" w:rsidRDefault="00000000">
            <w:r>
              <w:rPr>
                <w:rFonts w:ascii="Calibri" w:hAnsi="Calibri"/>
                <w:b/>
                <w:color w:val="1F3864"/>
                <w:sz w:val="18"/>
              </w:rPr>
              <w:t>Internal Audit (Third Line)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D55E909" w14:textId="77777777" w:rsidR="0056200E" w:rsidRDefault="00000000">
            <w:pPr>
              <w:jc w:val="center"/>
            </w:pPr>
            <w:r>
              <w:rPr>
                <w:rFonts w:ascii="Calibri" w:hAnsi="Calibri"/>
                <w:color w:val="000000"/>
                <w:sz w:val="18"/>
              </w:rPr>
              <w:t>Observer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3D9F57B" w14:textId="77777777" w:rsidR="0056200E" w:rsidRDefault="00000000">
            <w:pPr>
              <w:jc w:val="center"/>
            </w:pPr>
            <w:r>
              <w:rPr>
                <w:rFonts w:ascii="Calibri" w:hAnsi="Calibri"/>
                <w:color w:val="000000"/>
                <w:sz w:val="18"/>
              </w:rPr>
              <w:t>No</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AB4927" w14:textId="77777777" w:rsidR="0056200E" w:rsidRDefault="00000000">
            <w:r>
              <w:rPr>
                <w:rFonts w:ascii="Calibri" w:hAnsi="Calibri"/>
                <w:color w:val="000000"/>
                <w:sz w:val="18"/>
              </w:rPr>
              <w:t>Attends by right as an independent observer. Preserves objective 3LoD assurance mandate (A-31).</w:t>
            </w:r>
          </w:p>
        </w:tc>
      </w:tr>
      <w:tr w:rsidR="0056200E" w14:paraId="1E806C8E"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63323A1" w14:textId="77777777" w:rsidR="0056200E" w:rsidRDefault="00000000">
            <w:r>
              <w:rPr>
                <w:rFonts w:ascii="Calibri" w:hAnsi="Calibri"/>
                <w:b/>
                <w:color w:val="1F3864"/>
                <w:sz w:val="18"/>
              </w:rPr>
              <w:t>Legal Counsel</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2EACA35" w14:textId="77777777" w:rsidR="0056200E" w:rsidRDefault="00000000">
            <w:pPr>
              <w:jc w:val="center"/>
            </w:pPr>
            <w:r>
              <w:rPr>
                <w:rFonts w:ascii="Calibri" w:hAnsi="Calibri"/>
                <w:color w:val="000000"/>
                <w:sz w:val="18"/>
              </w:rPr>
              <w:t>By Invitation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5C0A41" w14:textId="77777777" w:rsidR="0056200E" w:rsidRDefault="00000000">
            <w:pPr>
              <w:jc w:val="center"/>
            </w:pPr>
            <w:r>
              <w:rPr>
                <w:rFonts w:ascii="Calibri" w:hAnsi="Calibri"/>
                <w:color w:val="000000"/>
                <w:sz w:val="18"/>
              </w:rPr>
              <w:t>No</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021F87" w14:textId="77777777" w:rsidR="0056200E" w:rsidRDefault="00000000">
            <w:r>
              <w:rPr>
                <w:rFonts w:ascii="Calibri" w:hAnsi="Calibri"/>
                <w:color w:val="000000"/>
                <w:sz w:val="18"/>
              </w:rPr>
              <w:t>Attends where multi-jurisdictional statutory positions or vendor contractual liabilities are contested.</w:t>
            </w:r>
          </w:p>
        </w:tc>
      </w:tr>
    </w:tbl>
    <w:p w14:paraId="3FD14B11" w14:textId="77777777" w:rsidR="0056200E" w:rsidRDefault="0056200E">
      <w:pPr>
        <w:spacing w:after="160"/>
      </w:pPr>
    </w:p>
    <w:p w14:paraId="5B39AFF4" w14:textId="77777777" w:rsidR="0056200E" w:rsidRDefault="00000000">
      <w:r>
        <w:rPr>
          <w:rFonts w:ascii="Calibri" w:hAnsi="Calibri"/>
          <w:i/>
          <w:sz w:val="19"/>
        </w:rPr>
        <w:t xml:space="preserve">Quorum Requirements: Quorum requires the Chair (or designated Deputy Chair) plus a minimum of two voting members for D1, D2, D4, and D7. For Architecture (D3) and Continuous Monitoring (D6), quorum must include the Head of Security Architecture. </w:t>
      </w:r>
      <w:r>
        <w:rPr>
          <w:rFonts w:ascii="Calibri" w:hAnsi="Calibri"/>
          <w:i/>
          <w:sz w:val="19"/>
        </w:rPr>
        <w:lastRenderedPageBreak/>
        <w:t>For Production Go-Live (D5 / Gate 5), quorum requires the Chair plus three voting members, including both the CRO and the Accountable Business Owner. No formal resolution may be passed without achieving designated quorum.</w:t>
      </w:r>
    </w:p>
    <w:p w14:paraId="4F20093E" w14:textId="77777777" w:rsidR="0056200E" w:rsidRDefault="00000000">
      <w:pPr>
        <w:spacing w:after="80"/>
      </w:pPr>
      <w:r>
        <w:rPr>
          <w:rFonts w:ascii="Calibri" w:hAnsi="Calibri"/>
          <w:b/>
          <w:color w:val="1F3864"/>
          <w:sz w:val="28"/>
        </w:rPr>
        <w:t>3. Decision Rights, Delegations, and Supermajority Voting Rules</w:t>
      </w:r>
    </w:p>
    <w:p w14:paraId="1B0F750E" w14:textId="77777777" w:rsidR="0056200E" w:rsidRDefault="00000000">
      <w:pPr>
        <w:spacing w:after="80"/>
      </w:pPr>
      <w:r>
        <w:rPr>
          <w:rFonts w:ascii="Calibri" w:hAnsi="Calibri"/>
          <w:sz w:val="20"/>
        </w:rPr>
        <w:t>The Committee holds explicit decision-making authority over the AI estate. Decisions are reached by consensus where achievable, or by simple majority vote, with the Chair holding a casting vote in the event of a tie. However, to prevent commercial erosion of safety baselines, specific high-impact determinations require a Two-Thirds (2/3) Supermajority Vote of attending permanent voting members:</w:t>
      </w:r>
    </w:p>
    <w:p w14:paraId="3B0A5248" w14:textId="77777777" w:rsidR="0056200E" w:rsidRDefault="00000000">
      <w:pPr>
        <w:spacing w:after="40"/>
      </w:pPr>
      <w:r>
        <w:rPr>
          <w:rFonts w:ascii="Calibri" w:hAnsi="Calibri"/>
          <w:b/>
          <w:color w:val="1F3864"/>
          <w:sz w:val="19"/>
        </w:rPr>
        <w:t>• Authorization of Production Go-Live (D5 / Gate 5) for any Tier 1 High-Risk AI system.</w:t>
      </w:r>
    </w:p>
    <w:p w14:paraId="160376D7" w14:textId="77777777" w:rsidR="0056200E" w:rsidRDefault="00000000">
      <w:pPr>
        <w:spacing w:after="40"/>
      </w:pPr>
      <w:r>
        <w:rPr>
          <w:rFonts w:ascii="Calibri" w:hAnsi="Calibri"/>
          <w:b/>
          <w:color w:val="1F3864"/>
          <w:sz w:val="19"/>
        </w:rPr>
        <w:t>• Approval of material architectural changes or version cutovers to production models (A-40).</w:t>
      </w:r>
    </w:p>
    <w:p w14:paraId="1DF2D20D" w14:textId="77777777" w:rsidR="0056200E" w:rsidRDefault="00000000">
      <w:pPr>
        <w:spacing w:after="40"/>
      </w:pPr>
      <w:r>
        <w:rPr>
          <w:rFonts w:ascii="Calibri" w:hAnsi="Calibri"/>
          <w:b/>
          <w:color w:val="1F3864"/>
          <w:sz w:val="19"/>
        </w:rPr>
        <w:t>• Formal amendment or relaxation of any provision within this Charter or the AI Risk Management Policy (A-12).</w:t>
      </w:r>
    </w:p>
    <w:p w14:paraId="0770FC31" w14:textId="77777777" w:rsidR="0056200E" w:rsidRDefault="00000000">
      <w:pPr>
        <w:spacing w:after="40"/>
      </w:pPr>
      <w:r>
        <w:rPr>
          <w:rFonts w:ascii="Calibri" w:hAnsi="Calibri"/>
          <w:b/>
          <w:color w:val="1F3864"/>
          <w:sz w:val="19"/>
        </w:rPr>
        <w:t>• Formal acceptance of a high-residual risk item (e.g., R-12) where compensating controls are relied upon.</w:t>
      </w:r>
    </w:p>
    <w:p w14:paraId="14879183" w14:textId="77777777" w:rsidR="0056200E" w:rsidRDefault="00000000">
      <w:pPr>
        <w:spacing w:after="80"/>
      </w:pPr>
      <w:r>
        <w:rPr>
          <w:rFonts w:ascii="Calibri" w:hAnsi="Calibri"/>
          <w:sz w:val="20"/>
        </w:rPr>
        <w:t>The allocation of institutional authority across key governance matters is structured as follows:</w:t>
      </w:r>
    </w:p>
    <w:tbl>
      <w:tblPr>
        <w:tblW w:w="0" w:type="auto"/>
        <w:jc w:val="center"/>
        <w:tblLook w:val="04A0" w:firstRow="1" w:lastRow="0" w:firstColumn="1" w:lastColumn="0" w:noHBand="0" w:noVBand="1"/>
      </w:tblPr>
      <w:tblGrid>
        <w:gridCol w:w="3312"/>
        <w:gridCol w:w="3312"/>
        <w:gridCol w:w="3312"/>
      </w:tblGrid>
      <w:tr w:rsidR="0056200E" w14:paraId="26E39940"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FE5FA6D" w14:textId="77777777" w:rsidR="0056200E" w:rsidRDefault="00000000">
            <w:r>
              <w:rPr>
                <w:rFonts w:ascii="Calibri" w:hAnsi="Calibri"/>
                <w:b/>
                <w:color w:val="FFFFFF"/>
                <w:sz w:val="19"/>
              </w:rPr>
              <w:t>Governance Matter</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4C4E50A" w14:textId="77777777" w:rsidR="0056200E" w:rsidRDefault="00000000">
            <w:r>
              <w:rPr>
                <w:rFonts w:ascii="Calibri" w:hAnsi="Calibri"/>
                <w:b/>
                <w:color w:val="FFFFFF"/>
                <w:sz w:val="19"/>
              </w:rPr>
              <w:t>Institutional Decision Authority</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0938860" w14:textId="77777777" w:rsidR="0056200E" w:rsidRDefault="00000000">
            <w:pPr>
              <w:jc w:val="center"/>
            </w:pPr>
            <w:r>
              <w:rPr>
                <w:rFonts w:ascii="Calibri" w:hAnsi="Calibri"/>
                <w:b/>
                <w:color w:val="FFFFFF"/>
                <w:sz w:val="19"/>
              </w:rPr>
              <w:t>Delegation Permitted?</w:t>
            </w:r>
          </w:p>
        </w:tc>
      </w:tr>
      <w:tr w:rsidR="0056200E" w14:paraId="1BB2B1B9"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7B05F1" w14:textId="77777777" w:rsidR="0056200E" w:rsidRDefault="00000000">
            <w:r>
              <w:rPr>
                <w:rFonts w:ascii="Calibri" w:hAnsi="Calibri"/>
                <w:b/>
                <w:color w:val="000000"/>
                <w:sz w:val="18"/>
              </w:rPr>
              <w:t>Decision point approval (D1–D7 / Gates 1–5)</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9FB248" w14:textId="77777777" w:rsidR="0056200E" w:rsidRDefault="00000000">
            <w:r>
              <w:rPr>
                <w:rFonts w:ascii="Calibri" w:hAnsi="Calibri"/>
                <w:color w:val="000000"/>
                <w:sz w:val="18"/>
              </w:rPr>
              <w:t>Committee (Supermajority for D5)</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877C27" w14:textId="77777777" w:rsidR="0056200E" w:rsidRDefault="00000000">
            <w:pPr>
              <w:jc w:val="center"/>
            </w:pPr>
            <w:r>
              <w:rPr>
                <w:rFonts w:ascii="Calibri" w:hAnsi="Calibri"/>
                <w:color w:val="000000"/>
                <w:sz w:val="18"/>
              </w:rPr>
              <w:t>No</w:t>
            </w:r>
          </w:p>
        </w:tc>
      </w:tr>
      <w:tr w:rsidR="0056200E" w14:paraId="59EA43D0"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58B99C" w14:textId="77777777" w:rsidR="0056200E" w:rsidRDefault="00000000">
            <w:r>
              <w:rPr>
                <w:rFonts w:ascii="Calibri" w:hAnsi="Calibri"/>
                <w:b/>
                <w:color w:val="000000"/>
                <w:sz w:val="18"/>
              </w:rPr>
              <w:t>Blocking progression at any decision point</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3D56060" w14:textId="77777777" w:rsidR="0056200E" w:rsidRDefault="00000000">
            <w:r>
              <w:rPr>
                <w:rFonts w:ascii="Calibri" w:hAnsi="Calibri"/>
                <w:color w:val="000000"/>
                <w:sz w:val="18"/>
              </w:rPr>
              <w:t>Committee, or ANY voting member raising an unresolved blocking objection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DF2063" w14:textId="77777777" w:rsidR="0056200E" w:rsidRDefault="00000000">
            <w:pPr>
              <w:jc w:val="center"/>
            </w:pPr>
            <w:r>
              <w:rPr>
                <w:rFonts w:ascii="Calibri" w:hAnsi="Calibri"/>
                <w:color w:val="000000"/>
                <w:sz w:val="18"/>
              </w:rPr>
              <w:t>No — Individual Veto Preserved</w:t>
            </w:r>
          </w:p>
        </w:tc>
      </w:tr>
      <w:tr w:rsidR="0056200E" w14:paraId="5AF4BCD6"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387834" w14:textId="77777777" w:rsidR="0056200E" w:rsidRDefault="00000000">
            <w:r>
              <w:rPr>
                <w:rFonts w:ascii="Calibri" w:hAnsi="Calibri"/>
                <w:b/>
                <w:color w:val="000000"/>
                <w:sz w:val="18"/>
              </w:rPr>
              <w:t>Risk-tier determination (High / Medium / Low)</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0681D1D" w14:textId="77777777" w:rsidR="0056200E" w:rsidRDefault="00000000">
            <w:r>
              <w:rPr>
                <w:rFonts w:ascii="Calibri" w:hAnsi="Calibri"/>
                <w:color w:val="000000"/>
                <w:sz w:val="18"/>
              </w:rPr>
              <w:t>Committee, on AI Governance Lead recommendation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319A2F" w14:textId="77777777" w:rsidR="0056200E" w:rsidRDefault="00000000">
            <w:pPr>
              <w:jc w:val="center"/>
            </w:pPr>
            <w:r>
              <w:rPr>
                <w:rFonts w:ascii="Calibri" w:hAnsi="Calibri"/>
                <w:color w:val="000000"/>
                <w:sz w:val="18"/>
              </w:rPr>
              <w:t>No</w:t>
            </w:r>
          </w:p>
        </w:tc>
      </w:tr>
      <w:tr w:rsidR="0056200E" w14:paraId="244E0533"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FD4DAF" w14:textId="77777777" w:rsidR="0056200E" w:rsidRDefault="00000000">
            <w:r>
              <w:rPr>
                <w:rFonts w:ascii="Calibri" w:hAnsi="Calibri"/>
                <w:b/>
                <w:color w:val="000000"/>
                <w:sz w:val="18"/>
              </w:rPr>
              <w:t>Acceptance of residual risk (e.g., R-12)</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9A1AA7" w14:textId="77777777" w:rsidR="0056200E" w:rsidRDefault="00000000">
            <w:r>
              <w:rPr>
                <w:rFonts w:ascii="Calibri" w:hAnsi="Calibri"/>
                <w:color w:val="000000"/>
                <w:sz w:val="18"/>
              </w:rPr>
              <w:t>Committee, naming an individual accepting executive role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3FD37B0" w14:textId="77777777" w:rsidR="0056200E" w:rsidRDefault="00000000">
            <w:pPr>
              <w:jc w:val="center"/>
            </w:pPr>
            <w:r>
              <w:rPr>
                <w:rFonts w:ascii="Calibri" w:hAnsi="Calibri"/>
                <w:color w:val="000000"/>
                <w:sz w:val="18"/>
              </w:rPr>
              <w:t>No (Collective acceptance prohibited)</w:t>
            </w:r>
          </w:p>
        </w:tc>
      </w:tr>
      <w:tr w:rsidR="0056200E" w14:paraId="6ED33ED9"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602A3A16" w14:textId="77777777" w:rsidR="0056200E" w:rsidRDefault="00000000">
            <w:r>
              <w:rPr>
                <w:rFonts w:ascii="Calibri" w:hAnsi="Calibri"/>
                <w:b/>
                <w:color w:val="000000"/>
                <w:sz w:val="18"/>
              </w:rPr>
              <w:t>Zero-appetite risk acceptance (DIR &lt; 0.80, PII leak)</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4F033F8C" w14:textId="77777777" w:rsidR="0056200E" w:rsidRDefault="00000000">
            <w:r>
              <w:rPr>
                <w:rFonts w:ascii="Calibri" w:hAnsi="Calibri"/>
                <w:color w:val="000000"/>
                <w:sz w:val="18"/>
              </w:rPr>
              <w:t>NOT AVAILABLE TO ANY AUTHORITY</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4AA9CABB" w14:textId="77777777" w:rsidR="0056200E" w:rsidRDefault="00000000">
            <w:pPr>
              <w:jc w:val="center"/>
            </w:pPr>
            <w:r>
              <w:rPr>
                <w:rFonts w:ascii="Calibri" w:hAnsi="Calibri"/>
                <w:b/>
                <w:color w:val="9C0006"/>
                <w:sz w:val="18"/>
              </w:rPr>
              <w:t>Strictly Prohibited</w:t>
            </w:r>
          </w:p>
        </w:tc>
      </w:tr>
      <w:tr w:rsidR="0056200E" w14:paraId="31C945FF"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91EFFA5" w14:textId="77777777" w:rsidR="0056200E" w:rsidRDefault="00000000">
            <w:r>
              <w:rPr>
                <w:rFonts w:ascii="Calibri" w:hAnsi="Calibri"/>
                <w:b/>
                <w:color w:val="000000"/>
                <w:sz w:val="18"/>
              </w:rPr>
              <w:t>Threshold amendment (fairness, override band)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423DAC" w14:textId="77777777" w:rsidR="0056200E" w:rsidRDefault="00000000">
            <w:r>
              <w:rPr>
                <w:rFonts w:ascii="Calibri" w:hAnsi="Calibri"/>
                <w:color w:val="000000"/>
                <w:sz w:val="18"/>
              </w:rPr>
              <w:t>Committee (Supermajority)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44DC6F" w14:textId="77777777" w:rsidR="0056200E" w:rsidRDefault="00000000">
            <w:pPr>
              <w:jc w:val="center"/>
            </w:pPr>
            <w:r>
              <w:rPr>
                <w:rFonts w:ascii="Calibri" w:hAnsi="Calibri"/>
                <w:color w:val="000000"/>
                <w:sz w:val="18"/>
              </w:rPr>
              <w:t>No</w:t>
            </w:r>
          </w:p>
        </w:tc>
      </w:tr>
      <w:tr w:rsidR="0056200E" w14:paraId="0A6B9EBA"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118F1FE8" w14:textId="77777777" w:rsidR="0056200E" w:rsidRDefault="00000000">
            <w:r>
              <w:rPr>
                <w:rFonts w:ascii="Calibri" w:hAnsi="Calibri"/>
                <w:b/>
                <w:color w:val="000000"/>
                <w:sz w:val="18"/>
              </w:rPr>
              <w:t>Immediate suspension on defined telemetry signals</w:t>
            </w:r>
          </w:p>
        </w:tc>
        <w:tc>
          <w:tcPr>
            <w:tcW w:w="3312"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3AC7B9B5" w14:textId="77777777" w:rsidR="0056200E" w:rsidRDefault="00000000">
            <w:r>
              <w:rPr>
                <w:rFonts w:ascii="Calibri" w:hAnsi="Calibri"/>
                <w:color w:val="000000"/>
                <w:sz w:val="18"/>
              </w:rPr>
              <w:t>Named operational role (SecOps / Model Risk Lead)</w:t>
            </w:r>
          </w:p>
        </w:tc>
        <w:tc>
          <w:tcPr>
            <w:tcW w:w="3312"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1B2C37F6" w14:textId="77777777" w:rsidR="0056200E" w:rsidRDefault="00000000">
            <w:pPr>
              <w:jc w:val="center"/>
            </w:pPr>
            <w:r>
              <w:rPr>
                <w:rFonts w:ascii="Calibri" w:hAnsi="Calibri"/>
                <w:color w:val="000000"/>
                <w:sz w:val="18"/>
              </w:rPr>
              <w:t>Pre-delegated (Automatic 24h review)</w:t>
            </w:r>
          </w:p>
        </w:tc>
      </w:tr>
      <w:tr w:rsidR="0056200E" w14:paraId="14B96308"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DB50E8D" w14:textId="77777777" w:rsidR="0056200E" w:rsidRDefault="00000000">
            <w:r>
              <w:rPr>
                <w:rFonts w:ascii="Calibri" w:hAnsi="Calibri"/>
                <w:b/>
                <w:color w:val="000000"/>
                <w:sz w:val="18"/>
              </w:rPr>
              <w:t>Permanent system decommissioning</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FC0DEB" w14:textId="77777777" w:rsidR="0056200E" w:rsidRDefault="00000000">
            <w:r>
              <w:rPr>
                <w:rFonts w:ascii="Calibri" w:hAnsi="Calibri"/>
                <w:color w:val="000000"/>
                <w:sz w:val="18"/>
              </w:rPr>
              <w:t>Committee, with records retention sign-off (A-41)</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AEA9EB" w14:textId="77777777" w:rsidR="0056200E" w:rsidRDefault="00000000">
            <w:pPr>
              <w:jc w:val="center"/>
            </w:pPr>
            <w:r>
              <w:rPr>
                <w:rFonts w:ascii="Calibri" w:hAnsi="Calibri"/>
                <w:color w:val="000000"/>
                <w:sz w:val="18"/>
              </w:rPr>
              <w:t>No</w:t>
            </w:r>
          </w:p>
        </w:tc>
      </w:tr>
      <w:tr w:rsidR="0056200E" w14:paraId="7B362C52"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718E866" w14:textId="77777777" w:rsidR="0056200E" w:rsidRDefault="00000000">
            <w:r>
              <w:rPr>
                <w:rFonts w:ascii="Calibri" w:hAnsi="Calibri"/>
                <w:b/>
                <w:color w:val="000000"/>
                <w:sz w:val="18"/>
              </w:rPr>
              <w:t>Exception involving production customer data</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1985744" w14:textId="77777777" w:rsidR="0056200E" w:rsidRDefault="00000000">
            <w:r>
              <w:rPr>
                <w:rFonts w:ascii="Calibri" w:hAnsi="Calibri"/>
                <w:color w:val="000000"/>
                <w:sz w:val="18"/>
              </w:rPr>
              <w:t>Committee (Full quorate review)</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C5886BF" w14:textId="77777777" w:rsidR="0056200E" w:rsidRDefault="00000000">
            <w:pPr>
              <w:jc w:val="center"/>
            </w:pPr>
            <w:r>
              <w:rPr>
                <w:rFonts w:ascii="Calibri" w:hAnsi="Calibri"/>
                <w:color w:val="000000"/>
                <w:sz w:val="18"/>
              </w:rPr>
              <w:t>No</w:t>
            </w:r>
          </w:p>
        </w:tc>
      </w:tr>
      <w:tr w:rsidR="0056200E" w14:paraId="1F2E390F"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84F3069" w14:textId="77777777" w:rsidR="0056200E" w:rsidRDefault="00000000">
            <w:r>
              <w:rPr>
                <w:rFonts w:ascii="Calibri" w:hAnsi="Calibri"/>
                <w:b/>
                <w:color w:val="000000"/>
                <w:sz w:val="18"/>
              </w:rPr>
              <w:lastRenderedPageBreak/>
              <w:t>Exception involving non-production test data</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1011844" w14:textId="77777777" w:rsidR="0056200E" w:rsidRDefault="00000000">
            <w:r>
              <w:rPr>
                <w:rFonts w:ascii="Calibri" w:hAnsi="Calibri"/>
                <w:color w:val="000000"/>
                <w:sz w:val="18"/>
              </w:rPr>
              <w:t>AI Governance Lead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20CC6A9" w14:textId="77777777" w:rsidR="0056200E" w:rsidRDefault="00000000">
            <w:pPr>
              <w:jc w:val="center"/>
            </w:pPr>
            <w:r>
              <w:rPr>
                <w:rFonts w:ascii="Calibri" w:hAnsi="Calibri"/>
                <w:color w:val="000000"/>
                <w:sz w:val="18"/>
              </w:rPr>
              <w:t>Yes (Delegated, logged in A-09)</w:t>
            </w:r>
          </w:p>
        </w:tc>
      </w:tr>
      <w:tr w:rsidR="0056200E" w14:paraId="157C838C"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4FAAFF" w14:textId="77777777" w:rsidR="0056200E" w:rsidRDefault="00000000">
            <w:r>
              <w:rPr>
                <w:rFonts w:ascii="Calibri" w:hAnsi="Calibri"/>
                <w:b/>
                <w:color w:val="000000"/>
                <w:sz w:val="18"/>
              </w:rPr>
              <w:t>Policy amendment (A-12, A-20, A-23)</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A5FDB78" w14:textId="77777777" w:rsidR="0056200E" w:rsidRDefault="00000000">
            <w:r>
              <w:rPr>
                <w:rFonts w:ascii="Calibri" w:hAnsi="Calibri"/>
                <w:color w:val="000000"/>
                <w:sz w:val="18"/>
              </w:rPr>
              <w:t>Committee recommendation; Board / ExCo ratification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735479" w14:textId="77777777" w:rsidR="0056200E" w:rsidRDefault="00000000">
            <w:pPr>
              <w:jc w:val="center"/>
            </w:pPr>
            <w:r>
              <w:rPr>
                <w:rFonts w:ascii="Calibri" w:hAnsi="Calibri"/>
                <w:color w:val="000000"/>
                <w:sz w:val="18"/>
              </w:rPr>
              <w:t>No</w:t>
            </w:r>
          </w:p>
        </w:tc>
      </w:tr>
    </w:tbl>
    <w:p w14:paraId="64CF4050" w14:textId="77777777" w:rsidR="0056200E" w:rsidRDefault="0056200E"/>
    <w:p w14:paraId="7DE32E93" w14:textId="77777777" w:rsidR="0056200E" w:rsidRDefault="00000000">
      <w:pPr>
        <w:spacing w:after="80"/>
      </w:pPr>
      <w:r>
        <w:rPr>
          <w:rFonts w:ascii="Calibri" w:hAnsi="Calibri"/>
          <w:b/>
          <w:color w:val="1F3864"/>
          <w:sz w:val="28"/>
        </w:rPr>
        <w:t>4. The Four-Eyes Rule &amp; Separation of Evidence from Approval</w:t>
      </w:r>
    </w:p>
    <w:p w14:paraId="0F7EC4BA" w14:textId="77777777" w:rsidR="0056200E" w:rsidRDefault="00000000">
      <w:pPr>
        <w:spacing w:after="80"/>
      </w:pPr>
      <w:r>
        <w:rPr>
          <w:rFonts w:ascii="Calibri" w:hAnsi="Calibri"/>
          <w:sz w:val="20"/>
        </w:rPr>
        <w:t>A cornerstone governance principle of this Charter is that no lifecycle gate or decision point may be approved by the individual or team that produced the underlying technical evidence. The AI Governance Lead authors the framework, coordinates testing, and compiles evidence dossiers, and is therefore strictly disqualified from casting a vote or approving gate submissions.</w:t>
      </w:r>
    </w:p>
    <w:p w14:paraId="0D4DC8D9" w14:textId="77777777" w:rsidR="0056200E" w:rsidRDefault="00000000">
      <w:pPr>
        <w:spacing w:after="160"/>
      </w:pPr>
      <w:r>
        <w:rPr>
          <w:rFonts w:ascii="Calibri" w:hAnsi="Calibri"/>
          <w:sz w:val="20"/>
        </w:rPr>
        <w:t>This safeguard is structurally enforced rather than passively stated: the Lifecycle Gate Approval Log (A-28) incorporates an automated script comparing the evidence author identity against the approver identity row by row. Any identity match triggers an automated control failure (CC-05) that prevents gate sign-off. An ethical rule that depends entirely on human memory is merely an unverified convention.</w:t>
      </w:r>
    </w:p>
    <w:p w14:paraId="7C1EE5ED" w14:textId="77777777" w:rsidR="0056200E" w:rsidRDefault="00000000">
      <w:pPr>
        <w:spacing w:after="80"/>
      </w:pPr>
      <w:r>
        <w:rPr>
          <w:rFonts w:ascii="Calibri" w:hAnsi="Calibri"/>
          <w:b/>
          <w:color w:val="1F3864"/>
          <w:sz w:val="28"/>
        </w:rPr>
        <w:t>5. Decision Logging, Mandatory Dissent Capture, and Immutable Retention</w:t>
      </w:r>
    </w:p>
    <w:p w14:paraId="48679EAC" w14:textId="77777777" w:rsidR="0056200E" w:rsidRDefault="00000000">
      <w:pPr>
        <w:spacing w:after="60"/>
      </w:pPr>
      <w:r>
        <w:rPr>
          <w:rFonts w:ascii="Calibri" w:hAnsi="Calibri"/>
          <w:b/>
          <w:color w:val="1F3864"/>
          <w:sz w:val="19"/>
        </w:rPr>
        <w:t xml:space="preserve">• Permanent Gate Logging (A-28): </w:t>
      </w:r>
      <w:r>
        <w:rPr>
          <w:rFonts w:ascii="Calibri" w:hAnsi="Calibri"/>
          <w:sz w:val="19"/>
        </w:rPr>
        <w:t>Every decision is formally recorded in Lifecycle Gate Approval Log (A-28) with timestamp, approver identity, independent reviewer sign-off, evidence hashes, and explicit release conditions.</w:t>
      </w:r>
    </w:p>
    <w:p w14:paraId="4A3F03C7" w14:textId="77777777" w:rsidR="0056200E" w:rsidRDefault="00000000">
      <w:pPr>
        <w:spacing w:after="60"/>
      </w:pPr>
      <w:r>
        <w:rPr>
          <w:rFonts w:ascii="Calibri" w:hAnsi="Calibri"/>
          <w:b/>
          <w:color w:val="1F3864"/>
          <w:sz w:val="19"/>
        </w:rPr>
        <w:t xml:space="preserve">• Permanent Retention of Blocked Records: </w:t>
      </w:r>
      <w:r>
        <w:rPr>
          <w:rFonts w:ascii="Calibri" w:hAnsi="Calibri"/>
          <w:sz w:val="19"/>
        </w:rPr>
        <w:t>A blocked decision is permanently retained above the subsequent release record. Overwriting or deleting a failed gate destroys the only proof that governance has ever exercised independent authority.</w:t>
      </w:r>
    </w:p>
    <w:p w14:paraId="6E80B438" w14:textId="77777777" w:rsidR="0056200E" w:rsidRDefault="00000000">
      <w:pPr>
        <w:spacing w:after="60"/>
      </w:pPr>
      <w:r>
        <w:rPr>
          <w:rFonts w:ascii="Calibri" w:hAnsi="Calibri"/>
          <w:b/>
          <w:color w:val="1F3864"/>
          <w:sz w:val="19"/>
        </w:rPr>
        <w:t xml:space="preserve">• Mandatory Dissent Recording: </w:t>
      </w:r>
      <w:r>
        <w:rPr>
          <w:rFonts w:ascii="Calibri" w:hAnsi="Calibri"/>
          <w:sz w:val="19"/>
        </w:rPr>
        <w:t>Where a voting member disagrees with a release determination, their dissenting opinion and technical rationale must be recorded verbatim in the decision minutes. In regulatory or legal inquiries, recorded dissent demonstrating rigorous challenge provides far stronger evidence of considered institutional judgement than a manufactured unanimous record.</w:t>
      </w:r>
    </w:p>
    <w:p w14:paraId="5A8EBAC2" w14:textId="77777777" w:rsidR="0056200E" w:rsidRDefault="00000000">
      <w:pPr>
        <w:spacing w:after="60"/>
      </w:pPr>
      <w:r>
        <w:rPr>
          <w:rFonts w:ascii="Calibri" w:hAnsi="Calibri"/>
          <w:b/>
          <w:color w:val="1F3864"/>
          <w:sz w:val="19"/>
        </w:rPr>
        <w:t xml:space="preserve">• Condition Tracking to Closure: </w:t>
      </w:r>
      <w:r>
        <w:rPr>
          <w:rFonts w:ascii="Calibri" w:hAnsi="Calibri"/>
          <w:sz w:val="19"/>
        </w:rPr>
        <w:t>Conditions attached to an approval (e.g., quarterly review of R-12 compensating controls) are tracked as binding risk items in A-09. An approval with unfulfilled, lapsed conditions is invalid.</w:t>
      </w:r>
    </w:p>
    <w:p w14:paraId="309F8C67" w14:textId="77777777" w:rsidR="0056200E" w:rsidRDefault="00000000">
      <w:pPr>
        <w:spacing w:after="60"/>
      </w:pPr>
      <w:r>
        <w:rPr>
          <w:rFonts w:ascii="Calibri" w:hAnsi="Calibri"/>
          <w:b/>
          <w:color w:val="1F3864"/>
          <w:sz w:val="19"/>
        </w:rPr>
        <w:t xml:space="preserve">• 7-Year Immutable WORM Storage: </w:t>
      </w:r>
      <w:r>
        <w:rPr>
          <w:rFonts w:ascii="Calibri" w:hAnsi="Calibri"/>
          <w:sz w:val="19"/>
        </w:rPr>
        <w:t>In accordance with Decommissioning and Records Retention Plan (A-41), all approved minutes, evidence dossiers, dissent records, and gate sign-off logs are archived in the immutable S3 audit vault (AWS Object Lock in Compliance Mode) and retained for a minimum of seven (7) years.</w:t>
      </w:r>
    </w:p>
    <w:p w14:paraId="73DA22C8" w14:textId="77777777" w:rsidR="0056200E" w:rsidRDefault="0056200E">
      <w:pPr>
        <w:spacing w:after="160"/>
      </w:pPr>
    </w:p>
    <w:p w14:paraId="12754AEB" w14:textId="77777777" w:rsidR="0056200E" w:rsidRDefault="00000000">
      <w:pPr>
        <w:spacing w:after="80"/>
      </w:pPr>
      <w:r>
        <w:rPr>
          <w:rFonts w:ascii="Calibri" w:hAnsi="Calibri"/>
          <w:b/>
          <w:color w:val="1F3864"/>
          <w:sz w:val="28"/>
        </w:rPr>
        <w:t>6. Meeting Cadence, Secretariat Standards, and Urgent Action Protocols</w:t>
      </w:r>
    </w:p>
    <w:p w14:paraId="38C7E161" w14:textId="77777777" w:rsidR="0056200E" w:rsidRDefault="00000000">
      <w:pPr>
        <w:spacing w:after="40"/>
      </w:pPr>
      <w:r>
        <w:rPr>
          <w:rFonts w:ascii="Calibri" w:hAnsi="Calibri"/>
          <w:b/>
          <w:color w:val="1F3864"/>
        </w:rPr>
        <w:t>6.1. Meeting Cadence &amp; Extraordinary Triggers</w:t>
      </w:r>
    </w:p>
    <w:p w14:paraId="671E0F11" w14:textId="77777777" w:rsidR="0056200E" w:rsidRDefault="00000000">
      <w:pPr>
        <w:spacing w:after="80"/>
      </w:pPr>
      <w:r>
        <w:rPr>
          <w:rFonts w:ascii="Calibri" w:hAnsi="Calibri"/>
          <w:sz w:val="19"/>
        </w:rPr>
        <w:t>The Committee meets on a formal Quarterly Scheduled Cadence aligned with the monitoring cycles in A-30. In addition, Extraordinary Meetings are convened on demand for any formal lifecycle decision point (D1–D7), any Level 2 or higher escalation, or following an operational kill-switch invocation. Any system suspension invoked by an on-call operational role triggers a mandatory Committee review meeting within 24 hours to evaluate root cause and determine remediation.</w:t>
      </w:r>
    </w:p>
    <w:p w14:paraId="0734EE4C" w14:textId="77777777" w:rsidR="0056200E" w:rsidRDefault="00000000">
      <w:pPr>
        <w:spacing w:after="40"/>
      </w:pPr>
      <w:r>
        <w:rPr>
          <w:rFonts w:ascii="Calibri" w:hAnsi="Calibri"/>
          <w:b/>
          <w:color w:val="1F3864"/>
        </w:rPr>
        <w:t>6.2. Secretariat Operating Standards &amp; Paper Distribution SLA</w:t>
      </w:r>
    </w:p>
    <w:p w14:paraId="14A69B66" w14:textId="77777777" w:rsidR="0056200E" w:rsidRDefault="00000000">
      <w:pPr>
        <w:spacing w:after="80"/>
      </w:pPr>
      <w:r>
        <w:rPr>
          <w:rFonts w:ascii="Calibri" w:hAnsi="Calibri"/>
          <w:sz w:val="19"/>
        </w:rPr>
        <w:t xml:space="preserve">The Committee Secretariat (Office of Model Risk) coordinates operational administration. Committee papers, validation dossiers, and risk dashboards must be distributed to members no later than five (5) working days prior to scheduled meetings to ensure substantive technical scrutiny. Formal minutes must be circulated within five (5) working days post-meeting. Standing agenda items comprise: (1) Review of previous minutes and condition closure, (2) Active gate submissions and use case </w:t>
      </w:r>
      <w:r>
        <w:rPr>
          <w:rFonts w:ascii="Calibri" w:hAnsi="Calibri"/>
          <w:sz w:val="19"/>
        </w:rPr>
        <w:lastRenderedPageBreak/>
        <w:t>approvals, (3) Telemetry metrics (DIR, Brier score, PSI drift, override band), (4) Risk Register (A-09) and incident log review, (5) Regulatory horizon scanning, and (6) Internal Audit updates.</w:t>
      </w:r>
    </w:p>
    <w:p w14:paraId="56A45DF6" w14:textId="77777777" w:rsidR="0056200E" w:rsidRDefault="00000000">
      <w:pPr>
        <w:spacing w:after="40"/>
      </w:pPr>
      <w:r>
        <w:rPr>
          <w:rFonts w:ascii="Calibri" w:hAnsi="Calibri"/>
          <w:b/>
          <w:color w:val="1F3864"/>
        </w:rPr>
        <w:t>6.3. Urgent Decision-Making Procedure</w:t>
      </w:r>
    </w:p>
    <w:p w14:paraId="7AB59243" w14:textId="77777777" w:rsidR="0056200E" w:rsidRDefault="00000000">
      <w:r>
        <w:rPr>
          <w:rFonts w:ascii="Calibri" w:hAnsi="Calibri"/>
          <w:sz w:val="19"/>
        </w:rPr>
        <w:t>Where an urgent decision is required between scheduled cycles and a quorate meeting cannot be convened within 48 hours, the Chair and Chief Risk Officer may execute a joint interim written determination, provided: (a) the rationale is fully documented with supporting technical evidence, (b) all voting members are formally notified within 24 hours, and (c) the interim action is formally ratified at the next quorate Committee meeting.</w:t>
      </w:r>
    </w:p>
    <w:p w14:paraId="22B903C3" w14:textId="77777777" w:rsidR="0056200E" w:rsidRDefault="00000000">
      <w:pPr>
        <w:spacing w:after="80"/>
      </w:pPr>
      <w:r>
        <w:rPr>
          <w:rFonts w:ascii="Calibri" w:hAnsi="Calibri"/>
          <w:b/>
          <w:color w:val="1F3864"/>
          <w:sz w:val="28"/>
        </w:rPr>
        <w:t>7. Upward Reporting and 48-Hour Incident Escalation SLA</w:t>
      </w:r>
    </w:p>
    <w:p w14:paraId="2ED20737" w14:textId="77777777" w:rsidR="0056200E" w:rsidRDefault="00000000">
      <w:pPr>
        <w:spacing w:after="80"/>
      </w:pPr>
      <w:r>
        <w:rPr>
          <w:rFonts w:ascii="Calibri" w:hAnsi="Calibri"/>
          <w:sz w:val="19"/>
        </w:rPr>
        <w:t>The Committee maintains formal reporting lines to executive management and the Board of Directors: (a) Quarterly Executive Briefings (A-29) submitted to the Executive Committee (ExCo) summarizing gate progression, open risks, and telemetry drift; (b) Annual Comprehensive AI Governance Report submitted to the Board Risk Committee evaluating framework maturity, sociotechnical interface risks, and regulatory alignment; and (c) Independent third-line assurance reports submitted directly to the Board Audit Committee by Internal Audit under Charter A-31.</w:t>
      </w:r>
    </w:p>
    <w:p w14:paraId="4A6B855F" w14:textId="77777777" w:rsidR="0056200E" w:rsidRDefault="00000000">
      <w:pPr>
        <w:spacing w:after="40"/>
      </w:pPr>
      <w:r>
        <w:rPr>
          <w:rFonts w:ascii="Calibri" w:hAnsi="Calibri"/>
          <w:b/>
          <w:color w:val="9C0006"/>
        </w:rPr>
        <w:t>7.1. 48-Hour Critical Incident Upward Escalation SLA</w:t>
      </w:r>
    </w:p>
    <w:p w14:paraId="19E876CA" w14:textId="77777777" w:rsidR="0056200E" w:rsidRDefault="00000000">
      <w:r>
        <w:rPr>
          <w:rFonts w:ascii="Calibri" w:hAnsi="Calibri"/>
          <w:sz w:val="19"/>
        </w:rPr>
        <w:t>In the event of any Level 3 or Level 4 critical condition—including confirmed discriminatory disparate impact (DIR &lt; 0.80), un-guardrailed foundation model invocation, confirmed applicant PII leakage, or emergency system withdrawal—the Committee Chair is mandated to submit a formal Critical Incident Notification to the Chief Risk Officer, Group CEO, and Board Risk Committee within 48 hours of Committee notification, operating concurrently with statutory notification clocks.</w:t>
      </w:r>
    </w:p>
    <w:p w14:paraId="0621DEBB" w14:textId="77777777" w:rsidR="0056200E" w:rsidRDefault="00000000">
      <w:pPr>
        <w:spacing w:after="80"/>
      </w:pPr>
      <w:r>
        <w:rPr>
          <w:rFonts w:ascii="Calibri" w:hAnsi="Calibri"/>
          <w:b/>
          <w:color w:val="1F3864"/>
          <w:sz w:val="28"/>
        </w:rPr>
        <w:t>8. Charter Review and Ratification</w:t>
      </w:r>
    </w:p>
    <w:p w14:paraId="5C6A5A03" w14:textId="77777777" w:rsidR="0056200E" w:rsidRDefault="00000000">
      <w:pPr>
        <w:spacing w:after="240"/>
      </w:pPr>
      <w:r>
        <w:rPr>
          <w:rFonts w:ascii="Calibri" w:hAnsi="Calibri"/>
          <w:sz w:val="20"/>
        </w:rPr>
        <w:t>This Charter is subject to formal review annually, and immediately upon any material restructuring of enterprise risk governance or significant statutory updates to the EU AI Act or MAS TRM/FEAT guidelines. Substantive amendments require unanimous recommendation by the AI Governance Committee and formal ratification by the Board Risk Committee.</w:t>
      </w:r>
    </w:p>
    <w:sectPr w:rsidR="0056200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146282">
    <w:abstractNumId w:val="8"/>
  </w:num>
  <w:num w:numId="2" w16cid:durableId="831798458">
    <w:abstractNumId w:val="6"/>
  </w:num>
  <w:num w:numId="3" w16cid:durableId="1751078199">
    <w:abstractNumId w:val="5"/>
  </w:num>
  <w:num w:numId="4" w16cid:durableId="211305913">
    <w:abstractNumId w:val="4"/>
  </w:num>
  <w:num w:numId="5" w16cid:durableId="1376463491">
    <w:abstractNumId w:val="7"/>
  </w:num>
  <w:num w:numId="6" w16cid:durableId="1005279179">
    <w:abstractNumId w:val="3"/>
  </w:num>
  <w:num w:numId="7" w16cid:durableId="139350568">
    <w:abstractNumId w:val="2"/>
  </w:num>
  <w:num w:numId="8" w16cid:durableId="1409768568">
    <w:abstractNumId w:val="1"/>
  </w:num>
  <w:num w:numId="9" w16cid:durableId="1126118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E7D"/>
    <w:rsid w:val="0056200E"/>
    <w:rsid w:val="00AA1D8D"/>
    <w:rsid w:val="00B47730"/>
    <w:rsid w:val="00CB0664"/>
    <w:rsid w:val="00DE2A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EEEA8"/>
  <w14:defaultImageDpi w14:val="300"/>
  <w15:docId w15:val="{7D4CC767-9CE9-4F17-AE0D-E075F30A7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1883</Words>
  <Characters>10737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Rity Shree</cp:lastModifiedBy>
  <cp:revision>2</cp:revision>
  <dcterms:created xsi:type="dcterms:W3CDTF">2013-12-23T23:15:00Z</dcterms:created>
  <dcterms:modified xsi:type="dcterms:W3CDTF">2026-09-14T13:10:00Z</dcterms:modified>
  <cp:category/>
</cp:coreProperties>
</file>