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Post-Deployment Monitoring &amp; Review Policy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546A"/>
          <w:sz w:val="23"/>
          <w:szCs w:val="23"/>
        </w:rPr>
        <w:t xml:space="preserve">Credit Decisioning Assistant — Artefact A-30, v1.1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Artefact ID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A-30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7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Post-Deployment Monitoring &amp; Review Policy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governed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Credit Decisioning Assistant (CDA) — retrieval-grounded foundation-model assistant supporting retail credit decisions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7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Approving authority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Committee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Internal — AI governance framework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Regulatory basis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 AI Act Art.26(5) deployer monitoring, Art.72 post-market monitoring, Art.15 robustness; MAS TRM Ch.10 and Ch.13; MAS FEAT Accountability; NIST AI RMF MANAGE 4.1; ISO/IEC 42001 Cl.9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Annual, or on any event trigger defined in Post_Deployment_Monitoring_and_Review_Policy §5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Nature of this document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Governance design artefact produced as part of a worked example. Figures, dates and named decisions are illustrative of how the control operates, not a record of a production deployment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AIGC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Narration-layer monitoring only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2026-09-13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 Risk; CISO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Recreated for the hybrid architecture. Scoring-layer drift and calibration signals added; hallucination lifecycle and cost/latency threshold treatment incorporated</w:t>
            </w:r>
          </w:p>
        </w:tc>
      </w:tr>
    </w:tbl>
    <w:p>
      <w:pPr>
        <w:pBdr>
          <w:left w:val="single" w:color="2E75B6" w:sz="18" w:space="8"/>
        </w:pBdr>
        <w:shd w:fill="DEEAF6" w:val="clear"/>
        <w:spacing w:after="210" w:before="110"/>
        <w:ind w:left="2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RECREATED —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The prior policy monitored a single generative layer. The hybrid architecture requires concept drift, calibration drift and rolling AUC on the scoring layer — signals with no narration-layer equivalent — and distinguishes them from embedding drift, which has no scoring-layer equivalent. Monitoring one layer's signals across both would miss the failure modes of each.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Approval at go-live is a point-in-time judgement about a system that will then change: the corpus will be updated, both models will be versioned, and the applicant population will shift. A control set validated in March is not automatically valid in September.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This policy is subordinate to the Audit Charter (A-31). The Charter establishes the independent assurance mandate and the right to review; this policy specifies the operating cadence that mandate is exercised through.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Monitoring signals — both layers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this shape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Guardrail intervention rate by filter type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Narration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±50%, two-sided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fall may mean the threat receded or the control was weakened. Investigating only rises leaves the more dangerous direction unexamined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M-02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Ungoverned invocation attempts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occurrence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Operations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Zero appetite. Post go-live this should never occur; any occurrence is P1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M-03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Grounding block rate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Narration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8% of invocations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Rising rate indicates corpus coverage gaps as the population shifts, not model degradation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M-04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PII redaction events by entity type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Narration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Trend only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Protection Officer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drop to zero on a previously active entity type signals an upstream data change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override rate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15%–40% band, two-sided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Lending Ops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Below band is oversight decay; above band is an unfit system. Both are failures of different kinds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M-06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Disparate impact ratio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Scoring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≥ 0.80, quarterly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Model Risk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Standing re-test of the finding that blocked Gate 2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M-07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Rolling ROC-AUC against matured outcomes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Scoring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Decay &gt; 3 points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Model Risk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Concept drift detection. Invisible without matured outcome data, which arrives months after the decision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M-08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Calibration (Brier) on live outcomes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Scoring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0.18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Model Risk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HITL marginal band is defined on the probability scale, so miscalibration silently misroutes escalation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M-09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 embedding drift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Narration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PSI &gt; 0.2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Query distribution reaching retrieval has shifted. Different response from concept drift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M-10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Corpus integrity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unlogged change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recorded hash is what grounding assurance was tested against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M-11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 (p95) and cost per inference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Contracted thresholds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Platform Operations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See §5 — governed as first-class constraints, not operational by-products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M-12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Circuit breaker activation rate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Trend; any activation reviewed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breaker that never opens has not been proven; one that opens often indicates an unstable dependency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Review cadence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 alarm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M-02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Operations on-call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 dashboard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M-01, M-03, M-11, M-12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human action unless alarmed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review of dashboard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M-01, M-03, M-04, M-09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Operational review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M-05, M-10, M-11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Lending Ops with AI Governance Lead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Periodic Responsible Model Review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All, plus M-06 fairness re-test and M-07 rolling AUC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Committee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Policy and classification review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policy; risk tier; regulatory dates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Committee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Unscheduled full review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Committee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4546A"/>
          <w:sz w:val="22"/>
          <w:szCs w:val="22"/>
        </w:rPr>
        <w:t xml:space="preserve">Event triggers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Version change to either model, including a provider-initiated upgrade or deprecation.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Any change to the retrieval corpus, prompt template, feature set or knowledge base configuration.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Any change to guardrail configuration or a threshold.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Material change to the applicant population or product terms.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Any P1 or P2 incident, or a regulatory development affecting the risk classification.</w:t>
      </w:r>
    </w:p>
    <w:p>
      <w:pPr>
        <w:pBdr>
          <w:left w:val="single" w:color="BF8F00" w:sz="18" w:space="8"/>
        </w:pBdr>
        <w:shd w:fill="FFF2CC" w:val="clear"/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7F6000"/>
          <w:sz w:val="20"/>
          <w:szCs w:val="20"/>
        </w:rPr>
        <w:t xml:space="preserve">⚠  This clause is what makes the cadence binding. Without it a version upgrade could land between quarterly reviews and carry production traffic unassessed for three months, with every fairness and grounding result silently invalidated.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Hallucination and unsupported-claim management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Hallucination is monitored here as a named operational risk with a managed lifecycle rather than an acknowledged property of generative models. The controls exist across Phases 2 to 6; this section binds them so the chain is visible as one managed risk.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 expression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Prevent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Grounding against a version-pinned corpus; deterministic prompt; temperature pinning; controlled corpus change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M-10 corpus integrity; prompt hash verification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Citation resolution and citation support; grounding scoring; scoring-layer confidence thresholds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M-03 grounding block rate; citation resolution failures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Block-on-fail rather than flag; blocked-response routing; circuit breaker with narration suppressed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M-03; M-12 breaker activation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Escalate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HITL routing on low confidence and policy gap; recourse re-review by a different underwriter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M-05 override rate; recourse volume and reversal rate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Learn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Overrides logged with justification; recurring patterns analysed; findings feed corpus, prompt and threshold revision under change control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Reversal clustering by cause; carried into the quarterly review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Detection is two controls, not one. </w:t>
      </w:r>
      <w:r>
        <w:rPr>
          <w:rFonts w:ascii="Calibri" w:cs="Calibri" w:eastAsia="Calibri" w:hAnsi="Calibri"/>
          <w:sz w:val="21"/>
          <w:szCs w:val="21"/>
        </w:rPr>
        <w:t xml:space="preserve">Citation resolution and citation support fail independently. A citation can resolve correctly to an indexed passage that does not support the claim made from it. Treating resolution as sufficient is the commonest gap.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Learn stage is what makes this a lifecycle. </w:t>
      </w:r>
      <w:r>
        <w:rPr>
          <w:rFonts w:ascii="Calibri" w:cs="Calibri" w:eastAsia="Calibri" w:hAnsi="Calibri"/>
          <w:sz w:val="21"/>
          <w:szCs w:val="21"/>
        </w:rPr>
        <w:t xml:space="preserve">A rising grounding block rate is read as a corpus coverage signal, and the remedy is usually a policy gap rather than a model change. Without the Learn loop the same pattern recurs and is blocked repeatedly — which looks like a working control and is an unaddressed cause.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Cost and latency as first-class constraints</w:t>
      </w:r>
    </w:p>
    <w:p>
      <w:pPr>
        <w:pBdr>
          <w:left w:val="single" w:color="1F3864" w:sz="18" w:space="8"/>
        </w:pBdr>
        <w:spacing w:after="200" w:before="120"/>
        <w:ind w:left="2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An AI system is not production-ready merely because it meets accuracy or model-performance thresholds. It must simultaneously satisfy predefined requirements for performance, fairness, security, safety, latency and economic viability.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Green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Amber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End-to-end latency (p95)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 or below the 1.5s ceiling; currently 1.1s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Sustained approach to the ceiling without explained cause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Sustained breach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Amber: capacity and retrieval-depth review at monthly review. Red: investigation, then circuit breaker with narration suppressed if the breach persists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 per inference</w:t>
            </w:r>
          </w:p>
        </w:tc>
        <w:tc>
          <w:tcPr>
            <w:tcW w:type="dxa" w:w="2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Within the contracted threshold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Sustained movement toward the threshold, or unexplained volume-mix shift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Sustained breach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Amber: cost review against invocation volume and retrieval depth. Red: escalation under the same governance as any sustained threshold breach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Optimisation must not weaken a Responsible AI, security, privacy or safety control. </w:t>
      </w:r>
      <w:r>
        <w:rPr>
          <w:rFonts w:ascii="Calibri" w:cs="Calibri" w:eastAsia="Calibri" w:hAnsi="Calibri"/>
          <w:sz w:val="21"/>
          <w:szCs w:val="21"/>
        </w:rPr>
        <w:t xml:space="preserve">The obvious levers — retrieving fewer passages, relaxing the grounding threshold, narrowing the redaction entity set — are each a control reduction wearing the clothing of a performance improvement. Any optimisation touching a mandatory control re-enters the gate that approved it.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accuracy improvement does not automatically justify unacceptable latency or cost. </w:t>
      </w:r>
      <w:r>
        <w:rPr>
          <w:rFonts w:ascii="Calibri" w:cs="Calibri" w:eastAsia="Calibri" w:hAnsi="Calibri"/>
          <w:sz w:val="21"/>
          <w:szCs w:val="21"/>
        </w:rPr>
        <w:t xml:space="preserve">Where the two conflict the decision goes to the AIGC as a multi-objective trade-off with both positions stated, not to the team holding the metric that moved.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Escalation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signal outside threshold, no customer impact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working days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Two or more signals outside threshold, or M-06 below 0.80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Governance Lead → AIGC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working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M-02 fires, or confirmed personal data exposure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Named operational role may suspend immediately; AIGC notified within 1 hour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discriminatory outcome affecting real applicants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AIGC, CISO, Legal, accountable business owner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Immediate; system withdrawn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L3 authority is deliberately split from committee decision. A framework in which only a committee may act means nobody can act quickly; one with unlimited unilateral authority means a system is withdrawn on a false positive and the business stops trusting governance.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Evidence and retention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Invocation records capturing prompt, response, citations, control trace, and both model versions — retained for the operational life of the system plus seven years.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Weekly and monthly review records with findings, actions and owner.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Quarterly review packs and Committee decisions, recorded in A-28.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Quarterly fairness re-test results, recorded in A-15.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Retrieval capability tested annually. An archive nobody has read is an assumption, not a record.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2026-09-13T09:02:17.715Z</dcterms:created>
  <dcterms:modified xsi:type="dcterms:W3CDTF">2026-09-13T09:02:17.715Z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