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4970" w14:textId="77777777" w:rsidR="0056645C" w:rsidRDefault="00000000">
      <w:pPr>
        <w:spacing w:after="40"/>
      </w:pPr>
      <w:r>
        <w:rPr>
          <w:rFonts w:ascii="Calibri" w:hAnsi="Calibri"/>
          <w:b/>
          <w:color w:val="1F3864"/>
          <w:sz w:val="40"/>
        </w:rPr>
        <w:t>AI Audit Charter</w:t>
      </w:r>
    </w:p>
    <w:p w14:paraId="0F272236" w14:textId="77777777" w:rsidR="0056645C" w:rsidRDefault="00000000">
      <w:pPr>
        <w:spacing w:after="240"/>
      </w:pPr>
      <w:r>
        <w:rPr>
          <w:rFonts w:ascii="Calibri" w:hAnsi="Calibri"/>
          <w:i/>
          <w:color w:val="595959"/>
          <w:sz w:val="23"/>
        </w:rPr>
        <w:t>Credit Decisioning Assistant (CDA) Framework — Artefact A-31, v1.2</w:t>
      </w:r>
    </w:p>
    <w:tbl>
      <w:tblPr>
        <w:tblW w:w="0" w:type="auto"/>
        <w:jc w:val="center"/>
        <w:tblLook w:val="04A0" w:firstRow="1" w:lastRow="0" w:firstColumn="1" w:lastColumn="0" w:noHBand="0" w:noVBand="1"/>
      </w:tblPr>
      <w:tblGrid>
        <w:gridCol w:w="4968"/>
        <w:gridCol w:w="4968"/>
      </w:tblGrid>
      <w:tr w:rsidR="0056645C" w14:paraId="36ED3AF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B5820E5" w14:textId="77777777" w:rsidR="0056645C"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EF2E2A2" w14:textId="77777777" w:rsidR="0056645C" w:rsidRDefault="00000000">
            <w:r>
              <w:rPr>
                <w:rFonts w:ascii="Calibri" w:hAnsi="Calibri"/>
                <w:b/>
                <w:color w:val="FFFFFF"/>
                <w:sz w:val="20"/>
              </w:rPr>
              <w:t>Detail</w:t>
            </w:r>
          </w:p>
        </w:tc>
      </w:tr>
      <w:tr w:rsidR="0056645C" w14:paraId="77BDE9D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5FCE975" w14:textId="77777777" w:rsidR="0056645C"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94F66A" w14:textId="77777777" w:rsidR="0056645C" w:rsidRDefault="00000000">
            <w:r>
              <w:rPr>
                <w:rFonts w:ascii="Calibri" w:hAnsi="Calibri"/>
                <w:color w:val="000000"/>
                <w:sz w:val="19"/>
              </w:rPr>
              <w:t>A-31</w:t>
            </w:r>
          </w:p>
        </w:tc>
      </w:tr>
      <w:tr w:rsidR="0056645C" w14:paraId="3EF87405"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BC1CDAD" w14:textId="77777777" w:rsidR="0056645C"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FC5291" w14:textId="77777777" w:rsidR="0056645C" w:rsidRDefault="00000000">
            <w:r>
              <w:rPr>
                <w:rFonts w:ascii="Calibri" w:hAnsi="Calibri"/>
                <w:color w:val="000000"/>
                <w:sz w:val="19"/>
              </w:rPr>
              <w:t>AI Audit Charter</w:t>
            </w:r>
          </w:p>
        </w:tc>
      </w:tr>
      <w:tr w:rsidR="0056645C" w14:paraId="64381E5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C87BA82" w14:textId="77777777" w:rsidR="0056645C"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0AED22" w14:textId="77777777" w:rsidR="0056645C"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56645C" w14:paraId="65B6EF7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7F2075D" w14:textId="77777777" w:rsidR="0056645C"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11675A" w14:textId="77777777" w:rsidR="0056645C" w:rsidRDefault="00000000">
            <w:r>
              <w:rPr>
                <w:rFonts w:ascii="Calibri" w:hAnsi="Calibri"/>
                <w:color w:val="000000"/>
                <w:sz w:val="19"/>
              </w:rPr>
              <w:t>Chief Audit Executive (CAE)</w:t>
            </w:r>
          </w:p>
        </w:tc>
      </w:tr>
      <w:tr w:rsidR="0056645C" w14:paraId="6F99179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60D872A" w14:textId="77777777" w:rsidR="0056645C"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07356B" w14:textId="77777777" w:rsidR="0056645C" w:rsidRDefault="00000000">
            <w:r>
              <w:rPr>
                <w:rFonts w:ascii="Calibri" w:hAnsi="Calibri"/>
                <w:color w:val="000000"/>
                <w:sz w:val="19"/>
              </w:rPr>
              <w:t>Board Audit Committee (BAC)</w:t>
            </w:r>
          </w:p>
        </w:tc>
      </w:tr>
      <w:tr w:rsidR="0056645C" w14:paraId="08C85D4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F2A23BD" w14:textId="77777777" w:rsidR="0056645C"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A9F27B" w14:textId="77777777" w:rsidR="0056645C" w:rsidRDefault="00000000">
            <w:r>
              <w:rPr>
                <w:rFonts w:ascii="Calibri" w:hAnsi="Calibri"/>
                <w:color w:val="000000"/>
                <w:sz w:val="19"/>
              </w:rPr>
              <w:t>Internal — Enterprise AI Governance &amp; Independent Assurance Framework</w:t>
            </w:r>
          </w:p>
        </w:tc>
      </w:tr>
      <w:tr w:rsidR="0056645C" w14:paraId="0DC49FC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9B066A9" w14:textId="77777777" w:rsidR="0056645C"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5F1565" w14:textId="77777777" w:rsidR="0056645C" w:rsidRDefault="00000000">
            <w:r>
              <w:rPr>
                <w:rFonts w:ascii="Calibri" w:hAnsi="Calibri"/>
                <w:color w:val="000000"/>
                <w:sz w:val="19"/>
              </w:rPr>
              <w:t>EU AI Act Art. 17 (Quality Management) &amp; Art. 26(5) (Deployer Oversight); ISO/IEC 42001 Cl. 9.2 (Internal Audit); MAS TRM Ch. 3 (IT Audit); IIA Standards for the Professional Practice of Internal Auditing; ISACA AI Audit Guidelines</w:t>
            </w:r>
          </w:p>
        </w:tc>
      </w:tr>
      <w:tr w:rsidR="0056645C" w14:paraId="501FF55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B327833" w14:textId="77777777" w:rsidR="0056645C"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3A0D5F" w14:textId="77777777" w:rsidR="0056645C" w:rsidRDefault="00000000">
            <w:r>
              <w:rPr>
                <w:rFonts w:ascii="Calibri" w:hAnsi="Calibri"/>
                <w:color w:val="000000"/>
                <w:sz w:val="19"/>
              </w:rPr>
              <w:t>Annual, or immediately upon any zero-appetite threshold breach or event trigger defined in Post-Deployment Monitoring Policy (A-30) §5</w:t>
            </w:r>
          </w:p>
        </w:tc>
      </w:tr>
      <w:tr w:rsidR="0056645C" w14:paraId="681B6F2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513DFCC" w14:textId="77777777" w:rsidR="0056645C"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7D831B" w14:textId="77777777" w:rsidR="0056645C" w:rsidRDefault="00000000">
            <w:r>
              <w:rPr>
                <w:rFonts w:ascii="Calibri" w:hAnsi="Calibri"/>
                <w:color w:val="000000"/>
                <w:sz w:val="19"/>
              </w:rPr>
              <w:t>Governance design artefact produced as part of a worked portfolio example. Figures, dates, and named decisions demonstrate third-line audit operational behavior and are internally consistent with Artifacts A-01 through A-44.</w:t>
            </w:r>
          </w:p>
        </w:tc>
      </w:tr>
    </w:tbl>
    <w:p w14:paraId="7F845540" w14:textId="77777777" w:rsidR="0056645C" w:rsidRDefault="0056645C">
      <w:pPr>
        <w:spacing w:after="160"/>
      </w:pPr>
    </w:p>
    <w:p w14:paraId="12C784E5" w14:textId="77777777" w:rsidR="0056645C"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538"/>
      </w:tblGrid>
      <w:tr w:rsidR="0056645C" w14:paraId="1560EC1D" w14:textId="77777777" w:rsidTr="000D411D">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B41F66C" w14:textId="77777777" w:rsidR="0056645C"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C974DAB" w14:textId="77777777" w:rsidR="0056645C"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38BA16A" w14:textId="77777777" w:rsidR="0056645C"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EBC48EF" w14:textId="77777777" w:rsidR="0056645C"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846C21C" w14:textId="77777777" w:rsidR="0056645C"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D915203" w14:textId="77777777" w:rsidR="0056645C" w:rsidRDefault="00000000">
            <w:pPr>
              <w:jc w:val="center"/>
            </w:pPr>
            <w:r>
              <w:rPr>
                <w:rFonts w:ascii="Calibri" w:hAnsi="Calibri"/>
                <w:b/>
                <w:color w:val="FFFFFF"/>
                <w:sz w:val="19"/>
              </w:rPr>
              <w:t>Status</w:t>
            </w:r>
          </w:p>
        </w:tc>
        <w:tc>
          <w:tcPr>
            <w:tcW w:w="153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B040C83" w14:textId="77777777" w:rsidR="0056645C" w:rsidRDefault="00000000">
            <w:pPr>
              <w:jc w:val="center"/>
            </w:pPr>
            <w:r>
              <w:rPr>
                <w:rFonts w:ascii="Calibri" w:hAnsi="Calibri"/>
                <w:b/>
                <w:color w:val="FFFFFF"/>
                <w:sz w:val="19"/>
              </w:rPr>
              <w:t>Change Summary</w:t>
            </w:r>
          </w:p>
        </w:tc>
      </w:tr>
      <w:tr w:rsidR="0056645C" w14:paraId="5C2C7DBA" w14:textId="77777777" w:rsidTr="000D411D">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4EC504" w14:textId="77777777" w:rsidR="0056645C"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E8F1EF" w14:textId="77777777" w:rsidR="0056645C" w:rsidRDefault="00000000">
            <w:pPr>
              <w:jc w:val="center"/>
            </w:pPr>
            <w:r>
              <w:rPr>
                <w:rFonts w:ascii="Calibri" w:hAnsi="Calibri"/>
                <w:color w:val="000000"/>
                <w:sz w:val="18"/>
              </w:rPr>
              <w:t>2026-02-15</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96429B" w14:textId="77777777" w:rsidR="0056645C" w:rsidRDefault="00000000">
            <w:r>
              <w:rPr>
                <w:rFonts w:ascii="Calibri" w:hAnsi="Calibri"/>
                <w:color w:val="000000"/>
                <w:sz w:val="18"/>
              </w:rPr>
              <w:t>Chief Audit Executive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85F38D" w14:textId="77777777" w:rsidR="0056645C" w:rsidRDefault="00000000">
            <w:r>
              <w:rPr>
                <w:rFonts w:ascii="Calibri" w:hAnsi="Calibri"/>
                <w:color w:val="000000"/>
                <w:sz w:val="18"/>
              </w:rPr>
              <w: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DD2763" w14:textId="77777777" w:rsidR="0056645C" w:rsidRDefault="00000000">
            <w:r>
              <w:rPr>
                <w:rFonts w:ascii="Calibri" w:hAnsi="Calibri"/>
                <w:color w:val="000000"/>
                <w:sz w:val="18"/>
              </w:rPr>
              <w:t>Board Audit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3CDF87" w14:textId="77777777" w:rsidR="0056645C" w:rsidRDefault="00000000">
            <w:pPr>
              <w:jc w:val="center"/>
            </w:pPr>
            <w:r>
              <w:rPr>
                <w:rFonts w:ascii="Calibri" w:hAnsi="Calibri"/>
                <w:color w:val="000000"/>
                <w:sz w:val="18"/>
              </w:rPr>
              <w:t>Superseded</w:t>
            </w:r>
          </w:p>
        </w:tc>
        <w:tc>
          <w:tcPr>
            <w:tcW w:w="153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A57FA5C" w14:textId="77777777" w:rsidR="0056645C" w:rsidRDefault="00000000">
            <w:r>
              <w:rPr>
                <w:rFonts w:ascii="Calibri" w:hAnsi="Calibri"/>
                <w:color w:val="000000"/>
                <w:sz w:val="18"/>
              </w:rPr>
              <w:t>Initial charter establishing general audit rights.</w:t>
            </w:r>
          </w:p>
        </w:tc>
      </w:tr>
      <w:tr w:rsidR="0056645C" w14:paraId="4B863A12" w14:textId="77777777" w:rsidTr="000D411D">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E03CC9" w14:textId="77777777" w:rsidR="0056645C" w:rsidRDefault="00000000">
            <w:pPr>
              <w:jc w:val="center"/>
            </w:pPr>
            <w:r>
              <w:rPr>
                <w:rFonts w:ascii="Calibri" w:hAnsi="Calibri"/>
                <w:b/>
                <w:color w:val="000000"/>
                <w:sz w:val="18"/>
              </w:rPr>
              <w:t>v1.1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88BA4C" w14:textId="77777777" w:rsidR="0056645C"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5FAFD4" w14:textId="77777777" w:rsidR="0056645C"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E93707" w14:textId="77777777" w:rsidR="0056645C" w:rsidRDefault="00000000">
            <w:r>
              <w:rPr>
                <w:rFonts w:ascii="Calibri" w:hAnsi="Calibri"/>
                <w:color w:val="000000"/>
                <w:sz w:val="18"/>
              </w:rPr>
              <w:t>Chief Audit Executive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F0DE4E" w14:textId="77777777" w:rsidR="0056645C" w:rsidRDefault="00000000">
            <w:r>
              <w:rPr>
                <w:rFonts w:ascii="Calibri" w:hAnsi="Calibri"/>
                <w:color w:val="000000"/>
                <w:sz w:val="18"/>
              </w:rPr>
              <w:t>Board Audit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8D6393" w14:textId="77777777" w:rsidR="0056645C" w:rsidRDefault="00000000">
            <w:pPr>
              <w:jc w:val="center"/>
            </w:pPr>
            <w:r>
              <w:rPr>
                <w:rFonts w:ascii="Calibri" w:hAnsi="Calibri"/>
                <w:color w:val="000000"/>
                <w:sz w:val="18"/>
              </w:rPr>
              <w:t>Superseded</w:t>
            </w:r>
          </w:p>
        </w:tc>
        <w:tc>
          <w:tcPr>
            <w:tcW w:w="153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31E761" w14:textId="77777777" w:rsidR="0056645C" w:rsidRDefault="00000000">
            <w:r>
              <w:rPr>
                <w:rFonts w:ascii="Calibri" w:hAnsi="Calibri"/>
                <w:color w:val="000000"/>
                <w:sz w:val="18"/>
              </w:rPr>
              <w:t>Scope of testing clarified — effectiveness rather than existence. Relationship to A-30 monitoring policy stated.</w:t>
            </w:r>
          </w:p>
        </w:tc>
      </w:tr>
    </w:tbl>
    <w:p w14:paraId="033BD4BB" w14:textId="77777777" w:rsidR="0056645C" w:rsidRDefault="0056645C"/>
    <w:p w14:paraId="295CA97B" w14:textId="77777777" w:rsidR="0056645C" w:rsidRDefault="00000000">
      <w:pPr>
        <w:spacing w:after="80"/>
      </w:pPr>
      <w:r>
        <w:rPr>
          <w:rFonts w:ascii="Calibri" w:hAnsi="Calibri"/>
          <w:b/>
          <w:color w:val="1F3864"/>
          <w:sz w:val="28"/>
        </w:rPr>
        <w:t>1. Purpose and Independence</w:t>
      </w:r>
    </w:p>
    <w:p w14:paraId="62DE9938" w14:textId="77777777" w:rsidR="0056645C" w:rsidRDefault="00000000">
      <w:pPr>
        <w:spacing w:after="80"/>
      </w:pPr>
      <w:r>
        <w:rPr>
          <w:rFonts w:ascii="Calibri" w:hAnsi="Calibri"/>
          <w:sz w:val="20"/>
        </w:rPr>
        <w:t>This Charter establishes the mandate, scope, and authority of independent third-line assurance over the Credit Decisioning Assistant (CDA) and the 44-artefact governance framework that controls it. Internal Audit reports functionally to the Board Audit Committee (BAC) and administratively to the Chief Executive Officer. It operates completely independent of both the delivery function that builds and operates the AI system (First Line) and the risk/governance function that designed the control policies and stage gates (Second Line).</w:t>
      </w:r>
    </w:p>
    <w:p w14:paraId="10A8D968" w14:textId="77777777" w:rsidR="0056645C" w:rsidRDefault="00000000">
      <w:pPr>
        <w:spacing w:after="160"/>
      </w:pPr>
      <w:r>
        <w:rPr>
          <w:rFonts w:ascii="Calibri" w:hAnsi="Calibri"/>
          <w:sz w:val="20"/>
        </w:rPr>
        <w:t>The second separation is critical: the AI Governance function designed this framework, authored its controls, and assesses evidence against them. Under IIA Standards and EU AI Act Article 17, the governance team cannot be independent in judging whether the framework it constructed is adequate. Third-line testing exists to challenge and re-perform those assertions from outside.</w:t>
      </w:r>
    </w:p>
    <w:p w14:paraId="38A91903" w14:textId="77777777" w:rsidR="0056645C" w:rsidRDefault="00000000">
      <w:pPr>
        <w:spacing w:after="80"/>
      </w:pPr>
      <w:r>
        <w:rPr>
          <w:rFonts w:ascii="Calibri" w:hAnsi="Calibri"/>
          <w:b/>
          <w:color w:val="1F3864"/>
          <w:sz w:val="24"/>
        </w:rPr>
        <w:t>1.1. Multidisciplinary Auditor Competency &amp; Qualifications</w:t>
      </w:r>
    </w:p>
    <w:p w14:paraId="4A3164B3" w14:textId="77777777" w:rsidR="0056645C" w:rsidRDefault="00000000">
      <w:pPr>
        <w:spacing w:after="120"/>
      </w:pPr>
      <w:r>
        <w:rPr>
          <w:rFonts w:ascii="Calibri" w:hAnsi="Calibri"/>
          <w:sz w:val="20"/>
        </w:rPr>
        <w:t>In accordance with EU AI Act Article 4 (AI Literacy) and ISACA AI Audit Guidelines, auditing a high-risk hybrid decisioning system requires specialized, cross-functional technical competencies. The Board Audit Committee mandates that third-line review teams possess formal qualifications across four essential domains:</w:t>
      </w:r>
    </w:p>
    <w:tbl>
      <w:tblPr>
        <w:tblW w:w="0" w:type="auto"/>
        <w:jc w:val="center"/>
        <w:tblLook w:val="04A0" w:firstRow="1" w:lastRow="0" w:firstColumn="1" w:lastColumn="0" w:noHBand="0" w:noVBand="1"/>
      </w:tblPr>
      <w:tblGrid>
        <w:gridCol w:w="3312"/>
        <w:gridCol w:w="3312"/>
        <w:gridCol w:w="3312"/>
      </w:tblGrid>
      <w:tr w:rsidR="0056645C" w14:paraId="0B0B24A9"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3F11459" w14:textId="77777777" w:rsidR="0056645C" w:rsidRDefault="00000000">
            <w:pPr>
              <w:jc w:val="center"/>
            </w:pPr>
            <w:r>
              <w:rPr>
                <w:rFonts w:ascii="Calibri" w:hAnsi="Calibri"/>
                <w:b/>
                <w:color w:val="FFFFFF"/>
                <w:sz w:val="19"/>
              </w:rPr>
              <w:t>Audit Specialism</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2A674B2" w14:textId="77777777" w:rsidR="0056645C" w:rsidRDefault="00000000">
            <w:pPr>
              <w:jc w:val="center"/>
            </w:pPr>
            <w:r>
              <w:rPr>
                <w:rFonts w:ascii="Calibri" w:hAnsi="Calibri"/>
                <w:b/>
                <w:color w:val="FFFFFF"/>
                <w:sz w:val="19"/>
              </w:rPr>
              <w:t>Mandatory Professional Credentials</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6D7ACC0" w14:textId="77777777" w:rsidR="0056645C" w:rsidRDefault="00000000">
            <w:r>
              <w:rPr>
                <w:rFonts w:ascii="Calibri" w:hAnsi="Calibri"/>
                <w:b/>
                <w:color w:val="FFFFFF"/>
                <w:sz w:val="19"/>
              </w:rPr>
              <w:t>Third-Line Assurance Scope</w:t>
            </w:r>
          </w:p>
        </w:tc>
      </w:tr>
      <w:tr w:rsidR="0056645C" w14:paraId="24E561A0"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58A11E1" w14:textId="77777777" w:rsidR="0056645C" w:rsidRDefault="00000000">
            <w:r>
              <w:rPr>
                <w:rFonts w:ascii="Calibri" w:hAnsi="Calibri"/>
                <w:b/>
                <w:color w:val="1F3864"/>
                <w:sz w:val="18"/>
              </w:rPr>
              <w:t>Audit Lead &amp; Engagement Partner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CDCBE34" w14:textId="77777777" w:rsidR="0056645C" w:rsidRDefault="00000000">
            <w:pPr>
              <w:jc w:val="center"/>
            </w:pPr>
            <w:r>
              <w:rPr>
                <w:rFonts w:ascii="Calibri" w:hAnsi="Calibri"/>
                <w:b/>
                <w:color w:val="000000"/>
                <w:sz w:val="18"/>
              </w:rPr>
              <w:t>CISA, CIA, CDPSE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79A616" w14:textId="77777777" w:rsidR="0056645C" w:rsidRDefault="00000000">
            <w:r>
              <w:rPr>
                <w:rFonts w:ascii="Calibri" w:hAnsi="Calibri"/>
                <w:color w:val="000000"/>
                <w:sz w:val="18"/>
              </w:rPr>
              <w:t>Engagement governance, executive reporting to Board Audit Committee, cross-functional liaison, and remediation tracking.</w:t>
            </w:r>
          </w:p>
        </w:tc>
      </w:tr>
      <w:tr w:rsidR="0056645C" w14:paraId="23B623EE"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EDF037B" w14:textId="77777777" w:rsidR="0056645C" w:rsidRDefault="00000000">
            <w:r>
              <w:rPr>
                <w:rFonts w:ascii="Calibri" w:hAnsi="Calibri"/>
                <w:b/>
                <w:color w:val="1F3864"/>
                <w:sz w:val="18"/>
              </w:rPr>
              <w:t>AI &amp; Quantitative Model Auditor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953CAF" w14:textId="77777777" w:rsidR="0056645C" w:rsidRDefault="00000000">
            <w:pPr>
              <w:jc w:val="center"/>
            </w:pPr>
            <w:r>
              <w:rPr>
                <w:rFonts w:ascii="Calibri" w:hAnsi="Calibri"/>
                <w:b/>
                <w:color w:val="000000"/>
                <w:sz w:val="18"/>
              </w:rPr>
              <w:t>MSc AI / Data Science, CISM</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45C57D" w14:textId="77777777" w:rsidR="0056645C" w:rsidRDefault="00000000">
            <w:r>
              <w:rPr>
                <w:rFonts w:ascii="Calibri" w:hAnsi="Calibri"/>
                <w:color w:val="000000"/>
                <w:sz w:val="18"/>
              </w:rPr>
              <w:t>Independent re-performance of fairness metrics (DIR, EOD), XGBoost feature calibration (Brier score), drift telemetry (PSI), and model code validation.</w:t>
            </w:r>
          </w:p>
        </w:tc>
      </w:tr>
      <w:tr w:rsidR="0056645C" w14:paraId="2BF33483"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D8D1AEF" w14:textId="77777777" w:rsidR="0056645C" w:rsidRDefault="00000000">
            <w:r>
              <w:rPr>
                <w:rFonts w:ascii="Calibri" w:hAnsi="Calibri"/>
                <w:b/>
                <w:color w:val="1F3864"/>
                <w:sz w:val="18"/>
              </w:rPr>
              <w:t>Data Governance &amp; Privacy Auditor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94F0283" w14:textId="77777777" w:rsidR="0056645C" w:rsidRDefault="00000000">
            <w:pPr>
              <w:jc w:val="center"/>
            </w:pPr>
            <w:r>
              <w:rPr>
                <w:rFonts w:ascii="Calibri" w:hAnsi="Calibri"/>
                <w:b/>
                <w:color w:val="000000"/>
                <w:sz w:val="18"/>
              </w:rPr>
              <w:t>CIPM, CIPP/E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204490" w14:textId="77777777" w:rsidR="0056645C" w:rsidRDefault="00000000">
            <w:r>
              <w:rPr>
                <w:rFonts w:ascii="Calibri" w:hAnsi="Calibri"/>
                <w:color w:val="000000"/>
                <w:sz w:val="18"/>
              </w:rPr>
              <w:t xml:space="preserve">Data lineage provenance (A-14), DPIA review (A-35), GDPR Art. 22 / PDPA </w:t>
            </w:r>
            <w:r>
              <w:rPr>
                <w:rFonts w:ascii="Calibri" w:hAnsi="Calibri"/>
                <w:color w:val="000000"/>
                <w:sz w:val="18"/>
              </w:rPr>
              <w:lastRenderedPageBreak/>
              <w:t>compliance, and 6-entity PII redaction scanner validation.</w:t>
            </w:r>
          </w:p>
        </w:tc>
      </w:tr>
      <w:tr w:rsidR="0056645C" w14:paraId="2CDEFEF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C324428" w14:textId="77777777" w:rsidR="0056645C" w:rsidRDefault="00000000">
            <w:r>
              <w:rPr>
                <w:rFonts w:ascii="Calibri" w:hAnsi="Calibri"/>
                <w:b/>
                <w:color w:val="1F3864"/>
                <w:sz w:val="18"/>
              </w:rPr>
              <w:lastRenderedPageBreak/>
              <w:t>Cloud Security &amp; Adversarial Auditor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6D7FB6" w14:textId="77777777" w:rsidR="0056645C" w:rsidRDefault="00000000">
            <w:pPr>
              <w:jc w:val="center"/>
            </w:pPr>
            <w:r>
              <w:rPr>
                <w:rFonts w:ascii="Calibri" w:hAnsi="Calibri"/>
                <w:b/>
                <w:color w:val="000000"/>
                <w:sz w:val="18"/>
              </w:rPr>
              <w:t>CCSP / CISSP, CISA</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C9200A" w14:textId="77777777" w:rsidR="0056645C" w:rsidRDefault="00000000">
            <w:r>
              <w:rPr>
                <w:rFonts w:ascii="Calibri" w:hAnsi="Calibri"/>
                <w:color w:val="000000"/>
                <w:sz w:val="18"/>
              </w:rPr>
              <w:t>IAM execution policy boundary inspection (ENF-01), AWS Bedrock Guardrail configuration, adversarial red-team penetration testing, and WORM vault audit.</w:t>
            </w:r>
          </w:p>
        </w:tc>
      </w:tr>
    </w:tbl>
    <w:p w14:paraId="01E73F31" w14:textId="77777777" w:rsidR="0056645C" w:rsidRDefault="0056645C"/>
    <w:p w14:paraId="1F6FF3E6" w14:textId="77777777" w:rsidR="0056645C" w:rsidRDefault="00000000">
      <w:pPr>
        <w:spacing w:after="80"/>
      </w:pPr>
      <w:r>
        <w:rPr>
          <w:rFonts w:ascii="Calibri" w:hAnsi="Calibri"/>
          <w:b/>
          <w:color w:val="1F3864"/>
          <w:sz w:val="28"/>
        </w:rPr>
        <w:t>2. Relationship to the Monitoring Policy (A-30)</w:t>
      </w:r>
    </w:p>
    <w:p w14:paraId="24EC81C5" w14:textId="77777777" w:rsidR="0056645C" w:rsidRDefault="00000000">
      <w:pPr>
        <w:spacing w:after="120"/>
      </w:pPr>
      <w:r>
        <w:rPr>
          <w:rFonts w:ascii="Calibri" w:hAnsi="Calibri"/>
          <w:sz w:val="20"/>
        </w:rPr>
        <w:t>This Charter establishes the assurance mandate, testing methodology, and the right to review. Post-Deployment Monitoring and Review Policy (A-30) specifies the operational cadence for monitoring the deployed system in production. The two are complementary and strictly non-interchangeable:</w:t>
      </w:r>
    </w:p>
    <w:tbl>
      <w:tblPr>
        <w:tblW w:w="0" w:type="auto"/>
        <w:jc w:val="center"/>
        <w:tblLook w:val="04A0" w:firstRow="1" w:lastRow="0" w:firstColumn="1" w:lastColumn="0" w:noHBand="0" w:noVBand="1"/>
      </w:tblPr>
      <w:tblGrid>
        <w:gridCol w:w="4968"/>
        <w:gridCol w:w="4968"/>
      </w:tblGrid>
      <w:tr w:rsidR="0056645C" w14:paraId="17847CC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03B2A6D" w14:textId="77777777" w:rsidR="0056645C" w:rsidRDefault="00000000">
            <w:pPr>
              <w:jc w:val="center"/>
            </w:pPr>
            <w:r>
              <w:rPr>
                <w:rFonts w:ascii="Calibri" w:hAnsi="Calibri"/>
                <w:b/>
                <w:color w:val="FFFFFF"/>
                <w:sz w:val="19"/>
              </w:rPr>
              <w:t>This Charter (A-31) Establishes</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8D7527E" w14:textId="77777777" w:rsidR="0056645C" w:rsidRDefault="00000000">
            <w:pPr>
              <w:jc w:val="center"/>
            </w:pPr>
            <w:r>
              <w:rPr>
                <w:rFonts w:ascii="Calibri" w:hAnsi="Calibri"/>
                <w:b/>
                <w:color w:val="FFFFFF"/>
                <w:sz w:val="19"/>
              </w:rPr>
              <w:t>Monitoring Policy (A-30) Establishes</w:t>
            </w:r>
          </w:p>
        </w:tc>
      </w:tr>
      <w:tr w:rsidR="0056645C" w14:paraId="4B6087BD"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B378F7" w14:textId="77777777" w:rsidR="0056645C" w:rsidRDefault="00000000">
            <w:r>
              <w:rPr>
                <w:rFonts w:ascii="Calibri" w:hAnsi="Calibri"/>
                <w:color w:val="000000"/>
                <w:sz w:val="18"/>
              </w:rPr>
              <w:t>The right to inspect, re-test, and challenge any control, algorithm, dataset, or gate decision without prior notice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348F0C" w14:textId="77777777" w:rsidR="0056645C" w:rsidRDefault="00000000">
            <w:r>
              <w:rPr>
                <w:rFonts w:ascii="Calibri" w:hAnsi="Calibri"/>
                <w:color w:val="000000"/>
                <w:sz w:val="18"/>
              </w:rPr>
              <w:t>What operational telemetry is measured continuously in production (PSI, Brier, latency, override rate)</w:t>
            </w:r>
          </w:p>
        </w:tc>
      </w:tr>
      <w:tr w:rsidR="0056645C" w14:paraId="6F541259"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444955" w14:textId="77777777" w:rsidR="0056645C" w:rsidRDefault="00000000">
            <w:r>
              <w:rPr>
                <w:rFonts w:ascii="Calibri" w:hAnsi="Calibri"/>
                <w:color w:val="000000"/>
                <w:sz w:val="18"/>
              </w:rPr>
              <w:t>Complete organizational independence reporting directly to the Board Audit Committee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BE1C64" w14:textId="77777777" w:rsidR="0056645C" w:rsidRDefault="00000000">
            <w:r>
              <w:rPr>
                <w:rFonts w:ascii="Calibri" w:hAnsi="Calibri"/>
                <w:color w:val="000000"/>
                <w:sz w:val="18"/>
              </w:rPr>
              <w:t>Who owns each metric operationally (First Line) and who challenges breaches (Second Line)</w:t>
            </w:r>
          </w:p>
        </w:tc>
      </w:tr>
      <w:tr w:rsidR="0056645C" w14:paraId="3A5D49FB"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50E15D" w14:textId="77777777" w:rsidR="0056645C" w:rsidRDefault="00000000">
            <w:r>
              <w:rPr>
                <w:rFonts w:ascii="Calibri" w:hAnsi="Calibri"/>
                <w:color w:val="000000"/>
                <w:sz w:val="18"/>
              </w:rPr>
              <w:t>Scope and execution of the annual independent audit plan and adversarial re-performance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E2582B" w14:textId="77777777" w:rsidR="0056645C" w:rsidRDefault="00000000">
            <w:r>
              <w:rPr>
                <w:rFonts w:ascii="Calibri" w:hAnsi="Calibri"/>
                <w:color w:val="000000"/>
                <w:sz w:val="18"/>
              </w:rPr>
              <w:t>The scheduled (monthly/quarterly) and event-driven operational review cadences</w:t>
            </w:r>
          </w:p>
        </w:tc>
      </w:tr>
      <w:tr w:rsidR="0056645C" w14:paraId="17E4FE8C" w14:textId="77777777">
        <w:trPr>
          <w:jc w:val="center"/>
        </w:trPr>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EBEC4A" w14:textId="77777777" w:rsidR="0056645C" w:rsidRDefault="00000000">
            <w:r>
              <w:rPr>
                <w:rFonts w:ascii="Calibri" w:hAnsi="Calibri"/>
                <w:color w:val="000000"/>
                <w:sz w:val="18"/>
              </w:rPr>
              <w:t>Authority to mandate binding technical remediation and recommend emergency system suspension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D49F03" w14:textId="77777777" w:rsidR="0056645C" w:rsidRDefault="00000000">
            <w:r>
              <w:rPr>
                <w:rFonts w:ascii="Calibri" w:hAnsi="Calibri"/>
                <w:color w:val="000000"/>
                <w:sz w:val="18"/>
              </w:rPr>
              <w:t>Operational escalation thresholds (L1–L4) and statutory regulatory notification clocks (MAS/GDPR)</w:t>
            </w:r>
          </w:p>
        </w:tc>
      </w:tr>
    </w:tbl>
    <w:p w14:paraId="47060D23" w14:textId="77777777" w:rsidR="0056645C" w:rsidRDefault="0056645C"/>
    <w:p w14:paraId="4E32CE1B" w14:textId="77777777" w:rsidR="0056645C" w:rsidRDefault="00000000">
      <w:pPr>
        <w:spacing w:after="80"/>
      </w:pPr>
      <w:r>
        <w:rPr>
          <w:rFonts w:ascii="Calibri" w:hAnsi="Calibri"/>
          <w:b/>
          <w:color w:val="1F3864"/>
          <w:sz w:val="28"/>
        </w:rPr>
        <w:t>3. Scope and Third-Party Vendor Audit Rights</w:t>
      </w:r>
    </w:p>
    <w:p w14:paraId="0E19CC36" w14:textId="77777777" w:rsidR="0056645C" w:rsidRDefault="00000000">
      <w:pPr>
        <w:spacing w:after="80"/>
      </w:pPr>
      <w:r>
        <w:rPr>
          <w:rFonts w:ascii="Calibri" w:hAnsi="Calibri"/>
          <w:sz w:val="20"/>
        </w:rPr>
        <w:t>The scope of Internal Audit authority encompasses the entire AI system lifecycle and its operating environment:</w:t>
      </w:r>
    </w:p>
    <w:p w14:paraId="0EBBE466" w14:textId="77777777" w:rsidR="0056645C" w:rsidRDefault="00000000">
      <w:pPr>
        <w:spacing w:after="60"/>
      </w:pPr>
      <w:r>
        <w:rPr>
          <w:rFonts w:ascii="Calibri" w:hAnsi="Calibri"/>
          <w:sz w:val="19"/>
        </w:rPr>
        <w:t>• Every AI system registered in the AI System Inventory (A-02), including shadow or embedded AI capabilities.</w:t>
      </w:r>
    </w:p>
    <w:p w14:paraId="5935DA0C" w14:textId="77777777" w:rsidR="0056645C" w:rsidRDefault="00000000">
      <w:pPr>
        <w:spacing w:after="60"/>
      </w:pPr>
      <w:r>
        <w:rPr>
          <w:rFonts w:ascii="Calibri" w:hAnsi="Calibri"/>
          <w:sz w:val="19"/>
        </w:rPr>
        <w:t>• Every artefact across the 44-document governance framework, including policies, risk registers, FMEA, and charters.</w:t>
      </w:r>
    </w:p>
    <w:p w14:paraId="01FAD2A8" w14:textId="77777777" w:rsidR="0056645C" w:rsidRDefault="00000000">
      <w:pPr>
        <w:spacing w:after="60"/>
      </w:pPr>
      <w:r>
        <w:rPr>
          <w:rFonts w:ascii="Calibri" w:hAnsi="Calibri"/>
          <w:sz w:val="19"/>
        </w:rPr>
        <w:t>• Every decision recorded in Lifecycle Gate Approval Log (A-28), tracing decisions back to the underlying technical evidence.</w:t>
      </w:r>
    </w:p>
    <w:p w14:paraId="0E7037C6" w14:textId="77777777" w:rsidR="0056645C" w:rsidRDefault="00000000">
      <w:pPr>
        <w:spacing w:after="60"/>
      </w:pPr>
      <w:r>
        <w:rPr>
          <w:rFonts w:ascii="Calibri" w:hAnsi="Calibri"/>
          <w:sz w:val="19"/>
        </w:rPr>
        <w:t>• The framework itself — verifying whether specified controls are adequate to address identified risks, not merely whether they were executed.</w:t>
      </w:r>
    </w:p>
    <w:p w14:paraId="02185804" w14:textId="77777777" w:rsidR="0056645C" w:rsidRDefault="00000000">
      <w:pPr>
        <w:spacing w:after="60"/>
      </w:pPr>
      <w:r>
        <w:rPr>
          <w:rFonts w:ascii="Calibri" w:hAnsi="Calibri"/>
          <w:sz w:val="19"/>
        </w:rPr>
        <w:t>• Training and evaluation datasets, feature store pipelines, preprocessing transformations, and vector index chunking logic.</w:t>
      </w:r>
    </w:p>
    <w:p w14:paraId="7AF53497" w14:textId="77777777" w:rsidR="0056645C" w:rsidRDefault="00000000">
      <w:pPr>
        <w:spacing w:after="60"/>
        <w:rPr>
          <w:rFonts w:ascii="Calibri" w:hAnsi="Calibri"/>
          <w:sz w:val="19"/>
        </w:rPr>
      </w:pPr>
      <w:r>
        <w:rPr>
          <w:rFonts w:ascii="Calibri" w:hAnsi="Calibri"/>
          <w:sz w:val="19"/>
        </w:rPr>
        <w:t>• Production inference environments across AWS (SageMaker scoring endpoints, Bedrock Foundation Model invocation APIs, Lambda orchestration).</w:t>
      </w:r>
    </w:p>
    <w:p w14:paraId="77D04A26" w14:textId="77777777" w:rsidR="000D411D" w:rsidRDefault="000D411D">
      <w:pPr>
        <w:spacing w:after="60"/>
      </w:pPr>
    </w:p>
    <w:p w14:paraId="2BEF8C54" w14:textId="77777777" w:rsidR="0056645C" w:rsidRDefault="00000000">
      <w:pPr>
        <w:spacing w:after="60"/>
      </w:pPr>
      <w:r>
        <w:rPr>
          <w:rFonts w:ascii="Calibri" w:hAnsi="Calibri"/>
          <w:b/>
          <w:color w:val="1F3864"/>
        </w:rPr>
        <w:lastRenderedPageBreak/>
        <w:t>3.1. Third-Party Vendor &amp; External Supplier Audit Rights</w:t>
      </w:r>
    </w:p>
    <w:p w14:paraId="1FE74CA8" w14:textId="77777777" w:rsidR="0056645C" w:rsidRDefault="00000000">
      <w:r>
        <w:rPr>
          <w:rFonts w:ascii="Calibri" w:hAnsi="Calibri"/>
          <w:sz w:val="19"/>
        </w:rPr>
        <w:t>In accordance with EU AI Act Article 26(5) (deployer obligations) and MAS TRM Chapter 5 (Third-Party Risk), Internal Audit maintains explicit audit and inspection rights over external providers supporting the Credit Decisioning Assistant. This includes: (a) inspecting data ingestion pipelines and quality SLA conformance for external credit bureau suppliers (e.g., ExFin Data Ltd. / Credit Bureau Singapore), (b) auditing foundation model provider enterprise agreements (AWS Bedrock) to verify that zero customer data is retained for model training, and (c) verifying that local data residency covenants (Singapore ap-southeast-1) remain unbroken across all model inference calls.</w:t>
      </w:r>
    </w:p>
    <w:p w14:paraId="07749038" w14:textId="77777777" w:rsidR="0056645C" w:rsidRDefault="00000000">
      <w:pPr>
        <w:spacing w:after="80"/>
      </w:pPr>
      <w:r>
        <w:rPr>
          <w:rFonts w:ascii="Calibri" w:hAnsi="Calibri"/>
          <w:b/>
          <w:color w:val="1F3864"/>
          <w:sz w:val="28"/>
        </w:rPr>
        <w:t>4. What Audit Tests: Effectiveness vs. Existence</w:t>
      </w:r>
    </w:p>
    <w:p w14:paraId="1DCD56E3" w14:textId="77777777" w:rsidR="0056645C" w:rsidRDefault="00000000">
      <w:pPr>
        <w:spacing w:after="120"/>
      </w:pPr>
      <w:r>
        <w:rPr>
          <w:rFonts w:ascii="Calibri" w:hAnsi="Calibri"/>
          <w:sz w:val="20"/>
        </w:rPr>
        <w:t>Stated precisely, because the commonest audit failure in AI governance is testing a control for existence and reporting it as effective. Internal Audit enforces the following strict testing and evidence acceptance rubric:</w:t>
      </w:r>
    </w:p>
    <w:tbl>
      <w:tblPr>
        <w:tblW w:w="0" w:type="auto"/>
        <w:jc w:val="center"/>
        <w:tblLook w:val="04A0" w:firstRow="1" w:lastRow="0" w:firstColumn="1" w:lastColumn="0" w:noHBand="0" w:noVBand="1"/>
      </w:tblPr>
      <w:tblGrid>
        <w:gridCol w:w="3312"/>
        <w:gridCol w:w="3312"/>
        <w:gridCol w:w="3312"/>
      </w:tblGrid>
      <w:tr w:rsidR="0056645C" w14:paraId="530D6DC0"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98B1230" w14:textId="77777777" w:rsidR="0056645C" w:rsidRDefault="00000000">
            <w:pPr>
              <w:jc w:val="center"/>
            </w:pPr>
            <w:r>
              <w:rPr>
                <w:rFonts w:ascii="Calibri" w:hAnsi="Calibri"/>
                <w:b/>
                <w:color w:val="FFFFFF"/>
                <w:sz w:val="19"/>
              </w:rPr>
              <w:t>Audit Inquiry</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7459F78" w14:textId="77777777" w:rsidR="0056645C" w:rsidRDefault="00000000">
            <w:r>
              <w:rPr>
                <w:rFonts w:ascii="Calibri" w:hAnsi="Calibri"/>
                <w:b/>
                <w:color w:val="FFFFFF"/>
                <w:sz w:val="19"/>
              </w:rPr>
              <w:t>What Internal Audit Independently Performs</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50384E0" w14:textId="77777777" w:rsidR="0056645C" w:rsidRDefault="00000000">
            <w:r>
              <w:rPr>
                <w:rFonts w:ascii="Calibri" w:hAnsi="Calibri"/>
                <w:b/>
                <w:color w:val="FFFFFF"/>
                <w:sz w:val="19"/>
              </w:rPr>
              <w:t>What Internal Audit Strictly Rejects</w:t>
            </w:r>
          </w:p>
        </w:tc>
      </w:tr>
      <w:tr w:rsidR="0056645C" w14:paraId="7FD1612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5383990" w14:textId="77777777" w:rsidR="0056645C" w:rsidRDefault="00000000">
            <w:pPr>
              <w:jc w:val="center"/>
            </w:pPr>
            <w:r>
              <w:rPr>
                <w:rFonts w:ascii="Calibri" w:hAnsi="Calibri"/>
                <w:b/>
                <w:color w:val="1F3864"/>
                <w:sz w:val="18"/>
              </w:rPr>
              <w:t>Does the control exist?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0528D9" w14:textId="77777777" w:rsidR="0056645C" w:rsidRDefault="00000000">
            <w:r>
              <w:rPr>
                <w:rFonts w:ascii="Calibri" w:hAnsi="Calibri"/>
                <w:color w:val="000000"/>
                <w:sz w:val="18"/>
              </w:rPr>
              <w:t>Confirms technical configuration against approved architectural baseline (e.g., AWS Bedrock Guardrail ARN attached).</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75FCD702" w14:textId="77777777" w:rsidR="0056645C" w:rsidRDefault="00000000">
            <w:r>
              <w:rPr>
                <w:rFonts w:ascii="Calibri" w:hAnsi="Calibri"/>
                <w:b/>
                <w:color w:val="C00000"/>
                <w:sz w:val="18"/>
              </w:rPr>
              <w:t>Configuration alone as evidence of operational assurance.</w:t>
            </w:r>
          </w:p>
        </w:tc>
      </w:tr>
      <w:tr w:rsidR="0056645C" w14:paraId="1CE1ECE4"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E8A32D9" w14:textId="77777777" w:rsidR="0056645C" w:rsidRDefault="00000000">
            <w:pPr>
              <w:jc w:val="center"/>
            </w:pPr>
            <w:r>
              <w:rPr>
                <w:rFonts w:ascii="Calibri" w:hAnsi="Calibri"/>
                <w:b/>
                <w:color w:val="1F3864"/>
                <w:sz w:val="18"/>
              </w:rPr>
              <w:t>Does it actually work?</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CD8287" w14:textId="77777777" w:rsidR="0056645C" w:rsidRDefault="00000000">
            <w:r>
              <w:rPr>
                <w:rFonts w:ascii="Calibri" w:hAnsi="Calibri"/>
                <w:color w:val="000000"/>
                <w:sz w:val="18"/>
              </w:rPr>
              <w:t>Independently re-performs effectiveness testing against realistic adversarial test suites and edge cases (e.g., re-running 150 prompt injection vectors).</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05154AC4" w14:textId="77777777" w:rsidR="0056645C" w:rsidRDefault="00000000">
            <w:r>
              <w:rPr>
                <w:rFonts w:ascii="Calibri" w:hAnsi="Calibri"/>
                <w:b/>
                <w:color w:val="C00000"/>
                <w:sz w:val="18"/>
              </w:rPr>
              <w:t>Accepting the governance function's or developer's own test pass without independent re-performance.</w:t>
            </w:r>
          </w:p>
        </w:tc>
      </w:tr>
      <w:tr w:rsidR="0056645C" w14:paraId="29A7946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2499656" w14:textId="77777777" w:rsidR="0056645C" w:rsidRDefault="00000000">
            <w:pPr>
              <w:jc w:val="center"/>
            </w:pPr>
            <w:r>
              <w:rPr>
                <w:rFonts w:ascii="Calibri" w:hAnsi="Calibri"/>
                <w:b/>
                <w:color w:val="1F3864"/>
                <w:sz w:val="18"/>
              </w:rPr>
              <w:t>Is it the right control?</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191ADC" w14:textId="77777777" w:rsidR="0056645C" w:rsidRDefault="00000000">
            <w:r>
              <w:rPr>
                <w:rFonts w:ascii="Calibri" w:hAnsi="Calibri"/>
                <w:color w:val="000000"/>
                <w:sz w:val="18"/>
              </w:rPr>
              <w:t>Assesses whether the control mathematically and operationally addresses the specific failure mode it is mapped to in AI FMEA (A-10).</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6A285DE9" w14:textId="77777777" w:rsidR="0056645C" w:rsidRDefault="00000000">
            <w:r>
              <w:rPr>
                <w:rFonts w:ascii="Calibri" w:hAnsi="Calibri"/>
                <w:b/>
                <w:color w:val="C00000"/>
                <w:sz w:val="18"/>
              </w:rPr>
              <w:t>Assuming that because a control is mapped to a risk in a matrix, the risk is therefore mitigated.</w:t>
            </w:r>
          </w:p>
        </w:tc>
      </w:tr>
      <w:tr w:rsidR="0056645C" w14:paraId="7B591AE0"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CF413D3" w14:textId="77777777" w:rsidR="0056645C" w:rsidRDefault="00000000">
            <w:pPr>
              <w:jc w:val="center"/>
            </w:pPr>
            <w:r>
              <w:rPr>
                <w:rFonts w:ascii="Calibri" w:hAnsi="Calibri"/>
                <w:b/>
                <w:color w:val="1F3864"/>
                <w:sz w:val="18"/>
              </w:rPr>
              <w:t>Is the evidence real and retrievable?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A93D2C" w14:textId="77777777" w:rsidR="0056645C" w:rsidRDefault="00000000">
            <w:r>
              <w:rPr>
                <w:rFonts w:ascii="Calibri" w:hAnsi="Calibri"/>
                <w:color w:val="000000"/>
                <w:sz w:val="18"/>
              </w:rPr>
              <w:t>Extracts a randomized sample of claimed decisions and traces evidence to the immutable S3 audit vault to test retrieval latency.</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299CB1AE" w14:textId="77777777" w:rsidR="0056645C" w:rsidRDefault="00000000">
            <w:r>
              <w:rPr>
                <w:rFonts w:ascii="Calibri" w:hAnsi="Calibri"/>
                <w:b/>
                <w:color w:val="C00000"/>
                <w:sz w:val="18"/>
              </w:rPr>
              <w:t>An evidence location path or hash that has never been tested for operational retrieval.</w:t>
            </w:r>
          </w:p>
        </w:tc>
      </w:tr>
      <w:tr w:rsidR="0056645C" w14:paraId="51D6C8BD"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4690C32" w14:textId="77777777" w:rsidR="0056645C" w:rsidRDefault="00000000">
            <w:pPr>
              <w:jc w:val="center"/>
            </w:pPr>
            <w:r>
              <w:rPr>
                <w:rFonts w:ascii="Calibri" w:hAnsi="Calibri"/>
                <w:b/>
                <w:color w:val="1F3864"/>
                <w:sz w:val="18"/>
              </w:rPr>
              <w:t>Was the decision sound on the evidence?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05A7B6" w14:textId="77777777" w:rsidR="0056645C" w:rsidRDefault="00000000">
            <w:r>
              <w:rPr>
                <w:rFonts w:ascii="Calibri" w:hAnsi="Calibri"/>
                <w:color w:val="000000"/>
                <w:sz w:val="18"/>
              </w:rPr>
              <w:t>Inspects gate approval logs (A-28), examining recorded conditions, dissenting opinions, and minority risk reports.</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0CFFF13F" w14:textId="77777777" w:rsidR="0056645C" w:rsidRDefault="00000000">
            <w:r>
              <w:rPr>
                <w:rFonts w:ascii="Calibri" w:hAnsi="Calibri"/>
                <w:b/>
                <w:color w:val="C00000"/>
                <w:sz w:val="18"/>
              </w:rPr>
              <w:t>A committee meeting minute recording 'Approved' without attaching the technical evidence it rested on.</w:t>
            </w:r>
          </w:p>
        </w:tc>
      </w:tr>
      <w:tr w:rsidR="0056645C" w14:paraId="781E01B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7DFE61C" w14:textId="77777777" w:rsidR="0056645C" w:rsidRDefault="00000000">
            <w:pPr>
              <w:jc w:val="center"/>
            </w:pPr>
            <w:r>
              <w:rPr>
                <w:rFonts w:ascii="Calibri" w:hAnsi="Calibri"/>
                <w:b/>
                <w:color w:val="1F3864"/>
                <w:sz w:val="18"/>
              </w:rPr>
              <w:t>Are the gaps truthfully disclosed?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8B85C8" w14:textId="77777777" w:rsidR="0056645C" w:rsidRDefault="00000000">
            <w:r>
              <w:rPr>
                <w:rFonts w:ascii="Calibri" w:hAnsi="Calibri"/>
                <w:color w:val="000000"/>
                <w:sz w:val="18"/>
              </w:rPr>
              <w:t>Compares reported executive dashboard status against the underlying AI Risk Register (A-09) and FMEA.</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A9819AE" w14:textId="77777777" w:rsidR="0056645C" w:rsidRDefault="00000000">
            <w:r>
              <w:rPr>
                <w:rFonts w:ascii="Calibri" w:hAnsi="Calibri"/>
                <w:b/>
                <w:color w:val="C00000"/>
                <w:sz w:val="18"/>
              </w:rPr>
              <w:t>A compliance position that rounds 'partially met' or 'constrained' controls up to 'met'.</w:t>
            </w:r>
          </w:p>
        </w:tc>
      </w:tr>
    </w:tbl>
    <w:p w14:paraId="3235FEEA" w14:textId="77777777" w:rsidR="0056645C" w:rsidRDefault="0056645C"/>
    <w:p w14:paraId="07141608" w14:textId="77777777" w:rsidR="000D411D" w:rsidRDefault="000D411D">
      <w:pPr>
        <w:spacing w:after="80"/>
        <w:rPr>
          <w:rFonts w:ascii="Calibri" w:hAnsi="Calibri"/>
          <w:b/>
          <w:color w:val="1F3864"/>
          <w:sz w:val="28"/>
        </w:rPr>
      </w:pPr>
    </w:p>
    <w:p w14:paraId="5C811AAB" w14:textId="47FB19A8" w:rsidR="0056645C" w:rsidRDefault="00000000">
      <w:pPr>
        <w:spacing w:after="80"/>
      </w:pPr>
      <w:r>
        <w:rPr>
          <w:rFonts w:ascii="Calibri" w:hAnsi="Calibri"/>
          <w:b/>
          <w:color w:val="1F3864"/>
          <w:sz w:val="28"/>
        </w:rPr>
        <w:lastRenderedPageBreak/>
        <w:t>5. Audit Cadence and Lifecycle Review Plan</w:t>
      </w:r>
    </w:p>
    <w:tbl>
      <w:tblPr>
        <w:tblW w:w="0" w:type="auto"/>
        <w:jc w:val="center"/>
        <w:tblLook w:val="04A0" w:firstRow="1" w:lastRow="0" w:firstColumn="1" w:lastColumn="0" w:noHBand="0" w:noVBand="1"/>
      </w:tblPr>
      <w:tblGrid>
        <w:gridCol w:w="3312"/>
        <w:gridCol w:w="3312"/>
        <w:gridCol w:w="3312"/>
      </w:tblGrid>
      <w:tr w:rsidR="0056645C" w14:paraId="561B79A2"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FE8ECC8" w14:textId="77777777" w:rsidR="0056645C" w:rsidRDefault="00000000">
            <w:pPr>
              <w:jc w:val="center"/>
            </w:pPr>
            <w:r>
              <w:rPr>
                <w:rFonts w:ascii="Calibri" w:hAnsi="Calibri"/>
                <w:b/>
                <w:color w:val="FFFFFF"/>
                <w:sz w:val="19"/>
              </w:rPr>
              <w:t>Audit Activity</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5D0AC9F" w14:textId="77777777" w:rsidR="0056645C" w:rsidRDefault="00000000">
            <w:pPr>
              <w:jc w:val="center"/>
            </w:pPr>
            <w:r>
              <w:rPr>
                <w:rFonts w:ascii="Calibri" w:hAnsi="Calibri"/>
                <w:b/>
                <w:color w:val="FFFFFF"/>
                <w:sz w:val="19"/>
              </w:rPr>
              <w:t>Execution Frequency</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17AFBD2" w14:textId="77777777" w:rsidR="0056645C" w:rsidRDefault="00000000">
            <w:r>
              <w:rPr>
                <w:rFonts w:ascii="Calibri" w:hAnsi="Calibri"/>
                <w:b/>
                <w:color w:val="FFFFFF"/>
                <w:sz w:val="19"/>
              </w:rPr>
              <w:t>Assurance Scope &amp; Deliverables</w:t>
            </w:r>
          </w:p>
        </w:tc>
      </w:tr>
      <w:tr w:rsidR="0056645C" w14:paraId="338BC09D"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7162D97" w14:textId="77777777" w:rsidR="0056645C" w:rsidRDefault="00000000">
            <w:r>
              <w:rPr>
                <w:rFonts w:ascii="Calibri" w:hAnsi="Calibri"/>
                <w:b/>
                <w:color w:val="1F3864"/>
                <w:sz w:val="18"/>
              </w:rPr>
              <w:t>Full Framework Audit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DFEFB8" w14:textId="77777777" w:rsidR="0056645C" w:rsidRDefault="00000000">
            <w:pPr>
              <w:jc w:val="center"/>
            </w:pPr>
            <w:r>
              <w:rPr>
                <w:rFonts w:ascii="Calibri" w:hAnsi="Calibri"/>
                <w:color w:val="000000"/>
                <w:sz w:val="18"/>
              </w:rPr>
              <w:t>Annual</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FC350B" w14:textId="77777777" w:rsidR="0056645C" w:rsidRDefault="00000000">
            <w:r>
              <w:rPr>
                <w:rFonts w:ascii="Calibri" w:hAnsi="Calibri"/>
                <w:color w:val="000000"/>
                <w:sz w:val="18"/>
              </w:rPr>
              <w:t>Comprehensive evaluation of all 44 artefacts, governance operating model, 3LoD boundaries, and committee effectiveness.</w:t>
            </w:r>
          </w:p>
        </w:tc>
      </w:tr>
      <w:tr w:rsidR="0056645C" w14:paraId="71E0514D"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36903CE" w14:textId="77777777" w:rsidR="0056645C" w:rsidRDefault="00000000">
            <w:r>
              <w:rPr>
                <w:rFonts w:ascii="Calibri" w:hAnsi="Calibri"/>
                <w:b/>
                <w:color w:val="1F3864"/>
                <w:sz w:val="18"/>
              </w:rPr>
              <w:t>High-Risk System Audit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C3B53A" w14:textId="77777777" w:rsidR="0056645C" w:rsidRDefault="00000000">
            <w:pPr>
              <w:jc w:val="center"/>
            </w:pPr>
            <w:r>
              <w:rPr>
                <w:rFonts w:ascii="Calibri" w:hAnsi="Calibri"/>
                <w:color w:val="000000"/>
                <w:sz w:val="18"/>
              </w:rPr>
              <w:t>Annual per system</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0C3F2B" w14:textId="77777777" w:rsidR="0056645C" w:rsidRDefault="00000000">
            <w:r>
              <w:rPr>
                <w:rFonts w:ascii="Calibri" w:hAnsi="Calibri"/>
                <w:color w:val="000000"/>
                <w:sz w:val="18"/>
              </w:rPr>
              <w:t>Full control set of the Credit Decisioning Assistant, independently effectiveness-tested across deterministic and RAG layers.</w:t>
            </w:r>
          </w:p>
        </w:tc>
      </w:tr>
      <w:tr w:rsidR="0056645C" w14:paraId="5D395382"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59BDA67" w14:textId="77777777" w:rsidR="0056645C" w:rsidRDefault="00000000">
            <w:r>
              <w:rPr>
                <w:rFonts w:ascii="Calibri" w:hAnsi="Calibri"/>
                <w:b/>
                <w:color w:val="1F3864"/>
                <w:sz w:val="18"/>
              </w:rPr>
              <w:t>Fairness Assurance Review</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167CC2" w14:textId="77777777" w:rsidR="0056645C" w:rsidRDefault="00000000">
            <w:pPr>
              <w:jc w:val="center"/>
            </w:pPr>
            <w:r>
              <w:rPr>
                <w:rFonts w:ascii="Calibri" w:hAnsi="Calibri"/>
                <w:color w:val="000000"/>
                <w:sz w:val="18"/>
              </w:rPr>
              <w:t>Semi-Annual</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BCE211" w14:textId="77777777" w:rsidR="0056645C" w:rsidRDefault="00000000">
            <w:r>
              <w:rPr>
                <w:rFonts w:ascii="Calibri" w:hAnsi="Calibri"/>
                <w:color w:val="000000"/>
                <w:sz w:val="18"/>
              </w:rPr>
              <w:t>Independent re-calculation of Disparate Impact Ratio (DIR) across protected groups and proxy metadata; threshold rigor assessment.</w:t>
            </w:r>
          </w:p>
        </w:tc>
      </w:tr>
      <w:tr w:rsidR="0056645C" w14:paraId="601694A6"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B4577F1" w14:textId="77777777" w:rsidR="0056645C" w:rsidRDefault="00000000">
            <w:r>
              <w:rPr>
                <w:rFonts w:ascii="Calibri" w:hAnsi="Calibri"/>
                <w:b/>
                <w:color w:val="1F3864"/>
                <w:sz w:val="18"/>
              </w:rPr>
              <w:t>Decision Gate Point Sampling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1750F6" w14:textId="77777777" w:rsidR="0056645C" w:rsidRDefault="00000000">
            <w:pPr>
              <w:jc w:val="center"/>
            </w:pPr>
            <w:r>
              <w:rPr>
                <w:rFonts w:ascii="Calibri" w:hAnsi="Calibri"/>
                <w:color w:val="000000"/>
                <w:sz w:val="18"/>
              </w:rPr>
              <w:t>Quarterly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89C350" w14:textId="77777777" w:rsidR="0056645C" w:rsidRDefault="00000000">
            <w:r>
              <w:rPr>
                <w:rFonts w:ascii="Calibri" w:hAnsi="Calibri"/>
                <w:color w:val="000000"/>
                <w:sz w:val="18"/>
              </w:rPr>
              <w:t>Randomized sampling of Gate 1–5 sign-offs traced back to primary evidence files, verifying four-eyes compliance.</w:t>
            </w:r>
          </w:p>
        </w:tc>
      </w:tr>
      <w:tr w:rsidR="0056645C" w14:paraId="5174B5E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D51942C" w14:textId="77777777" w:rsidR="0056645C" w:rsidRDefault="00000000">
            <w:r>
              <w:rPr>
                <w:rFonts w:ascii="Calibri" w:hAnsi="Calibri"/>
                <w:b/>
                <w:color w:val="1F3864"/>
                <w:sz w:val="18"/>
              </w:rPr>
              <w:t>Post-Incident Review</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AE3D18" w14:textId="77777777" w:rsidR="0056645C" w:rsidRDefault="00000000">
            <w:pPr>
              <w:jc w:val="center"/>
            </w:pPr>
            <w:r>
              <w:rPr>
                <w:rFonts w:ascii="Calibri" w:hAnsi="Calibri"/>
                <w:color w:val="000000"/>
                <w:sz w:val="18"/>
              </w:rPr>
              <w:t>Per P1/P2 Incident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6A84C8" w14:textId="77777777" w:rsidR="0056645C" w:rsidRDefault="00000000">
            <w:r>
              <w:rPr>
                <w:rFonts w:ascii="Calibri" w:hAnsi="Calibri"/>
                <w:color w:val="000000"/>
                <w:sz w:val="18"/>
              </w:rPr>
              <w:t>Mandatory review within 10 days of any kill-switch trip or L3/L4 breach to assess whether controls failed or were bypassed.</w:t>
            </w:r>
          </w:p>
        </w:tc>
      </w:tr>
      <w:tr w:rsidR="0056645C" w14:paraId="5B0D88D5"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5748465" w14:textId="77777777" w:rsidR="0056645C" w:rsidRDefault="00000000">
            <w:r>
              <w:rPr>
                <w:rFonts w:ascii="Calibri" w:hAnsi="Calibri"/>
                <w:b/>
                <w:color w:val="1F3864"/>
                <w:sz w:val="18"/>
              </w:rPr>
              <w:t>Charter Review</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07BFC0" w14:textId="77777777" w:rsidR="0056645C" w:rsidRDefault="00000000">
            <w:pPr>
              <w:jc w:val="center"/>
            </w:pPr>
            <w:r>
              <w:rPr>
                <w:rFonts w:ascii="Calibri" w:hAnsi="Calibri"/>
                <w:color w:val="000000"/>
                <w:sz w:val="18"/>
              </w:rPr>
              <w:t>Annual</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541745" w14:textId="77777777" w:rsidR="0056645C" w:rsidRDefault="00000000">
            <w:r>
              <w:rPr>
                <w:rFonts w:ascii="Calibri" w:hAnsi="Calibri"/>
                <w:color w:val="000000"/>
                <w:sz w:val="18"/>
              </w:rPr>
              <w:t>Formal review and re-ratification of this Charter by the Board Audit Committee.</w:t>
            </w:r>
          </w:p>
        </w:tc>
      </w:tr>
    </w:tbl>
    <w:p w14:paraId="31473A42" w14:textId="77777777" w:rsidR="0056645C" w:rsidRDefault="0056645C"/>
    <w:p w14:paraId="1492B884" w14:textId="77777777" w:rsidR="0056645C" w:rsidRDefault="00000000">
      <w:pPr>
        <w:spacing w:after="80"/>
      </w:pPr>
      <w:r>
        <w:rPr>
          <w:rFonts w:ascii="Calibri" w:hAnsi="Calibri"/>
          <w:b/>
          <w:color w:val="1F3864"/>
          <w:sz w:val="28"/>
        </w:rPr>
        <w:t>6. Audit Authority and Secure Evidence Protocols</w:t>
      </w:r>
    </w:p>
    <w:p w14:paraId="5BBD5ED1" w14:textId="77777777" w:rsidR="0056645C" w:rsidRDefault="00000000">
      <w:pPr>
        <w:spacing w:after="60"/>
      </w:pPr>
      <w:r>
        <w:rPr>
          <w:rFonts w:ascii="Calibri" w:hAnsi="Calibri"/>
          <w:sz w:val="19"/>
        </w:rPr>
        <w:t>• Unrestricted Access: Right of full, unannounced access to all algorithms, feature stores, code repositories, training logs, inference payloads, and personnel across all Three Lines.</w:t>
      </w:r>
    </w:p>
    <w:p w14:paraId="0AEB60FB" w14:textId="77777777" w:rsidR="0056645C" w:rsidRDefault="00000000">
      <w:pPr>
        <w:spacing w:after="60"/>
      </w:pPr>
      <w:r>
        <w:rPr>
          <w:rFonts w:ascii="Calibri" w:hAnsi="Calibri"/>
          <w:sz w:val="19"/>
        </w:rPr>
        <w:t>• Committee Attendance by Right: Standing right of attendance at all AI Governance Committee (AIGC) and AI Ethics Committee (AIEC) meetings as an independent observer.</w:t>
      </w:r>
    </w:p>
    <w:p w14:paraId="02F423A0" w14:textId="77777777" w:rsidR="0056645C" w:rsidRDefault="00000000">
      <w:pPr>
        <w:spacing w:after="60"/>
      </w:pPr>
      <w:r>
        <w:rPr>
          <w:rFonts w:ascii="Calibri" w:hAnsi="Calibri"/>
          <w:sz w:val="19"/>
        </w:rPr>
        <w:t>• Remediation Mandate: Unilateral authority to mandate binding remediation action plans with named executive owners and strict calendar completion dates for any identified finding.</w:t>
      </w:r>
    </w:p>
    <w:p w14:paraId="6B076B91" w14:textId="77777777" w:rsidR="0056645C" w:rsidRDefault="00000000">
      <w:pPr>
        <w:spacing w:after="60"/>
      </w:pPr>
      <w:r>
        <w:rPr>
          <w:rFonts w:ascii="Calibri" w:hAnsi="Calibri"/>
          <w:sz w:val="19"/>
        </w:rPr>
        <w:t>• Board Escalation Authority: Right to escalate directly to the Board Audit Committee Chair, bypassing executive management, where an AI risk finding is unaddressed or contested.</w:t>
      </w:r>
    </w:p>
    <w:p w14:paraId="16B68D98" w14:textId="77777777" w:rsidR="0056645C" w:rsidRDefault="00000000">
      <w:pPr>
        <w:spacing w:after="60"/>
        <w:rPr>
          <w:rFonts w:ascii="Calibri" w:hAnsi="Calibri"/>
          <w:sz w:val="19"/>
        </w:rPr>
      </w:pPr>
      <w:r>
        <w:rPr>
          <w:rFonts w:ascii="Calibri" w:hAnsi="Calibri"/>
          <w:sz w:val="19"/>
        </w:rPr>
        <w:t>• System Suspension Recommendation: Authority to formally recommend the immediate invocation of the AI Kill Switch (A-34) to suspend production model routing upon detecting critical control failure.</w:t>
      </w:r>
    </w:p>
    <w:p w14:paraId="4A1ECE7E" w14:textId="77777777" w:rsidR="000D411D" w:rsidRDefault="000D411D">
      <w:pPr>
        <w:spacing w:after="60"/>
      </w:pPr>
    </w:p>
    <w:p w14:paraId="7462CA9F" w14:textId="77777777" w:rsidR="0056645C" w:rsidRDefault="00000000">
      <w:pPr>
        <w:spacing w:after="60"/>
      </w:pPr>
      <w:r>
        <w:rPr>
          <w:rFonts w:ascii="Calibri" w:hAnsi="Calibri"/>
          <w:b/>
          <w:color w:val="1F3864"/>
        </w:rPr>
        <w:lastRenderedPageBreak/>
        <w:t>6.1. Secure Audit Evidence Repository &amp; WORM Protocol</w:t>
      </w:r>
    </w:p>
    <w:p w14:paraId="0D041DC4" w14:textId="77777777" w:rsidR="0056645C" w:rsidRDefault="00000000">
      <w:r>
        <w:rPr>
          <w:rFonts w:ascii="Calibri" w:hAnsi="Calibri"/>
          <w:sz w:val="19"/>
        </w:rPr>
        <w:t>All working papers, sampling batches, and empirical testing artifacts collected during audits are governed by strict confidentiality protocols. In compliance with Project 4's Decommissioning and Records Retention Plan (A-41), audit evidence is inspected within a dedicated, read-only audit environment with AES-256 encryption. Raw production applicant PII must never be extracted or exported; all testing utilizes tokenized fixtures or in-situ queries against the immutable S3 WORM audit vault. The master evidence inventory is formally tracked and reconciled.</w:t>
      </w:r>
    </w:p>
    <w:p w14:paraId="71F6A02C" w14:textId="77777777" w:rsidR="0056645C" w:rsidRDefault="00000000">
      <w:pPr>
        <w:spacing w:after="80"/>
      </w:pPr>
      <w:r>
        <w:rPr>
          <w:rFonts w:ascii="Calibri" w:hAnsi="Calibri"/>
          <w:b/>
          <w:color w:val="1F3864"/>
          <w:sz w:val="28"/>
        </w:rPr>
        <w:t>7. Reporting, Findings Closure, and Fast-Track Escalation SLA</w:t>
      </w:r>
    </w:p>
    <w:p w14:paraId="1D6BAC20" w14:textId="77777777" w:rsidR="0056645C" w:rsidRDefault="00000000">
      <w:pPr>
        <w:spacing w:after="80"/>
      </w:pPr>
      <w:r>
        <w:rPr>
          <w:rFonts w:ascii="Calibri" w:hAnsi="Calibri"/>
          <w:sz w:val="19"/>
        </w:rPr>
        <w:t>Formal audit reports are presented directly to the Board Audit Committee upon engagement completion. All findings return to the Enterprise AI Risk Register (A-09) as active risk items and, where a technical safeguard is implicated, to the Control Testing Index (A-39) for mandatory re-testing. A finding is closed ONLY by verified technical re-performance, never by an accepted management response. Overdue findings are reported at every Board Audit Committee meeting until fully remediated.</w:t>
      </w:r>
    </w:p>
    <w:p w14:paraId="46B71015" w14:textId="77777777" w:rsidR="0056645C" w:rsidRDefault="00000000">
      <w:pPr>
        <w:spacing w:after="60"/>
      </w:pPr>
      <w:r>
        <w:rPr>
          <w:rFonts w:ascii="Calibri" w:hAnsi="Calibri"/>
          <w:b/>
          <w:color w:val="9C0006"/>
        </w:rPr>
        <w:t>7.1. Fast-Track Critical Finding Escalation SLA (24-Hour Breach Protocol)</w:t>
      </w:r>
    </w:p>
    <w:p w14:paraId="77F0C1E7" w14:textId="77777777" w:rsidR="0056645C" w:rsidRDefault="00000000">
      <w:r>
        <w:rPr>
          <w:rFonts w:ascii="Calibri" w:hAnsi="Calibri"/>
          <w:sz w:val="19"/>
        </w:rPr>
        <w:t>Where an audit test identifies a critical finding—specifically a breach of the zero-appetite tolerance thresholds defined in Policy A-12 (such as confirmed discriminatory outcome DIR &lt; 0.80, ungoverned foundation model invocation, or confirmed applicant PII leakage)—the Audit Lead is mandated to execute the Fast-Track Escalation Protocol within 24 hours. The finding must be communicated directly to the Chief Risk Officer (CRO), Chief Information Security Officer (CISO), and Board Audit Committee Chair without awaiting draft report finalization or management response windows.</w:t>
      </w:r>
    </w:p>
    <w:p w14:paraId="6A4BB7AC" w14:textId="77777777" w:rsidR="0056645C" w:rsidRDefault="00000000">
      <w:pPr>
        <w:spacing w:after="80"/>
      </w:pPr>
      <w:r>
        <w:rPr>
          <w:rFonts w:ascii="Calibri" w:hAnsi="Calibri"/>
          <w:b/>
          <w:color w:val="1F3864"/>
          <w:sz w:val="28"/>
        </w:rPr>
        <w:t>8. Current Position and Assurance Limitations</w:t>
      </w:r>
    </w:p>
    <w:p w14:paraId="75D22BF4" w14:textId="77777777" w:rsidR="0056645C" w:rsidRDefault="00000000">
      <w:r>
        <w:rPr>
          <w:rFonts w:ascii="Calibri" w:hAnsi="Calibri"/>
          <w:b/>
          <w:color w:val="9C0006"/>
          <w:sz w:val="19"/>
        </w:rPr>
        <w:t>⚠  Stated plainly rather than omitted. Internal Audit has not yet completed a formal third-line pass over this framework. The framework's control testing to date has been performed by the second line—the function that designed the controls—with named testers independent of the implementer but not independent of the framework architecture. This is a deliberate, transparent limitation of the current assurance position: it is documented in the Governance Maturity Tracker (A-43) where independent assurance is scored at 1/5 against an overall maturity of 2.6/5. Executing the independent third-line review established by this Charter is the single most valuable action required to transition from design maturity to verified operational assurance.</w:t>
      </w:r>
    </w:p>
    <w:p w14:paraId="1AED341E" w14:textId="77777777" w:rsidR="0056645C" w:rsidRDefault="00000000">
      <w:pPr>
        <w:spacing w:after="80"/>
      </w:pPr>
      <w:r>
        <w:rPr>
          <w:rFonts w:ascii="Calibri" w:hAnsi="Calibri"/>
          <w:b/>
          <w:color w:val="1F3864"/>
          <w:sz w:val="28"/>
        </w:rPr>
        <w:t>9. Review and Ratification</w:t>
      </w:r>
    </w:p>
    <w:p w14:paraId="18F51BC6" w14:textId="77777777" w:rsidR="0056645C" w:rsidRDefault="00000000">
      <w:pPr>
        <w:spacing w:after="240"/>
      </w:pPr>
      <w:r>
        <w:rPr>
          <w:rFonts w:ascii="Calibri" w:hAnsi="Calibri"/>
          <w:sz w:val="20"/>
        </w:rPr>
        <w:t>This Charter is subject to formal review annually by the Chief Audit Executive and re-ratification by the Board Audit Committee. Substantive amendments require unanimous Board Audit Committee approval.</w:t>
      </w:r>
    </w:p>
    <w:sectPr w:rsidR="0056645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251229">
    <w:abstractNumId w:val="8"/>
  </w:num>
  <w:num w:numId="2" w16cid:durableId="1701591843">
    <w:abstractNumId w:val="6"/>
  </w:num>
  <w:num w:numId="3" w16cid:durableId="545457187">
    <w:abstractNumId w:val="5"/>
  </w:num>
  <w:num w:numId="4" w16cid:durableId="315886641">
    <w:abstractNumId w:val="4"/>
  </w:num>
  <w:num w:numId="5" w16cid:durableId="1490831644">
    <w:abstractNumId w:val="7"/>
  </w:num>
  <w:num w:numId="6" w16cid:durableId="1201087127">
    <w:abstractNumId w:val="3"/>
  </w:num>
  <w:num w:numId="7" w16cid:durableId="1402941433">
    <w:abstractNumId w:val="2"/>
  </w:num>
  <w:num w:numId="8" w16cid:durableId="1829831009">
    <w:abstractNumId w:val="1"/>
  </w:num>
  <w:num w:numId="9" w16cid:durableId="137504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11D"/>
    <w:rsid w:val="0014153D"/>
    <w:rsid w:val="0015074B"/>
    <w:rsid w:val="0029639D"/>
    <w:rsid w:val="00326F90"/>
    <w:rsid w:val="005664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642E3"/>
  <w14:defaultImageDpi w14:val="300"/>
  <w15:docId w15:val="{767ACB4A-317C-4150-B9AE-F8212690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2</cp:revision>
  <dcterms:created xsi:type="dcterms:W3CDTF">2013-12-23T23:15:00Z</dcterms:created>
  <dcterms:modified xsi:type="dcterms:W3CDTF">2026-09-14T12:24:00Z</dcterms:modified>
  <cp:category/>
</cp:coreProperties>
</file>