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color w:val="1F3864"/>
          <w:sz w:val="40"/>
          <w:szCs w:val="40"/>
        </w:rPr>
        <w:t xml:space="preserve">AI Kill Switch and Emergency Suspension Provision</w:t>
      </w:r>
    </w:p>
    <w:p>
      <w:pPr>
        <w:spacing w:after="300"/>
      </w:pPr>
      <w:r>
        <w:rPr>
          <w:rFonts w:ascii="Calibri" w:cs="Calibri" w:eastAsia="Calibri" w:hAnsi="Calibri"/>
          <w:i/>
          <w:iCs/>
          <w:color w:val="44546A"/>
          <w:sz w:val="23"/>
          <w:szCs w:val="23"/>
        </w:rPr>
        <w:t xml:space="preserve">Credit Decisioning Assistant (CDA) framework — Artefact A-34, v2.0</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100"/>
            <w:shd w:fill="1F3864"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Field</w:t>
            </w:r>
          </w:p>
        </w:tc>
        <w:tc>
          <w:tcPr>
            <w:tcW w:type="dxa" w:w="7400"/>
            <w:shd w:fill="1F3864"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Detail</w:t>
            </w:r>
          </w:p>
        </w:tc>
      </w:tr>
      <w:tr>
        <w:tc>
          <w:tcPr>
            <w:tcW w:type="dxa" w:w="21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Artefact ID</w:t>
            </w:r>
          </w:p>
        </w:tc>
        <w:tc>
          <w:tcPr>
            <w:tcW w:type="dxa" w:w="74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A-34</w:t>
            </w:r>
          </w:p>
        </w:tc>
      </w:tr>
      <w:tr>
        <w:tc>
          <w:tcPr>
            <w:tcW w:type="dxa" w:w="21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Title</w:t>
            </w:r>
          </w:p>
        </w:tc>
        <w:tc>
          <w:tcPr>
            <w:tcW w:type="dxa" w:w="74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AI Kill Switch and Emergency Suspension Provision</w:t>
            </w:r>
          </w:p>
        </w:tc>
      </w:tr>
      <w:tr>
        <w:tc>
          <w:tcPr>
            <w:tcW w:type="dxa" w:w="21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System governed</w:t>
            </w:r>
          </w:p>
        </w:tc>
        <w:tc>
          <w:tcPr>
            <w:tcW w:type="dxa" w:w="74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Credit Decisioning Assistant (CDA) — retrieval-grounded foundation-model assistant supporting retail credit decisions</w:t>
            </w:r>
          </w:p>
        </w:tc>
      </w:tr>
      <w:tr>
        <w:tc>
          <w:tcPr>
            <w:tcW w:type="dxa" w:w="21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Document owner</w:t>
            </w:r>
          </w:p>
        </w:tc>
        <w:tc>
          <w:tcPr>
            <w:tcW w:type="dxa" w:w="74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Chief Information Security Officer</w:t>
            </w:r>
          </w:p>
        </w:tc>
      </w:tr>
      <w:tr>
        <w:tc>
          <w:tcPr>
            <w:tcW w:type="dxa" w:w="21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Approving authority</w:t>
            </w:r>
          </w:p>
        </w:tc>
        <w:tc>
          <w:tcPr>
            <w:tcW w:type="dxa" w:w="74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AI Governance Committee, ratified by the Board</w:t>
            </w:r>
          </w:p>
        </w:tc>
      </w:tr>
      <w:tr>
        <w:tc>
          <w:tcPr>
            <w:tcW w:type="dxa" w:w="21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Classification</w:t>
            </w:r>
          </w:p>
        </w:tc>
        <w:tc>
          <w:tcPr>
            <w:tcW w:type="dxa" w:w="74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Internal — AI governance framework</w:t>
            </w:r>
          </w:p>
        </w:tc>
      </w:tr>
      <w:tr>
        <w:tc>
          <w:tcPr>
            <w:tcW w:type="dxa" w:w="21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Regulatory basis</w:t>
            </w:r>
          </w:p>
        </w:tc>
        <w:tc>
          <w:tcPr>
            <w:tcW w:type="dxa" w:w="74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EU AI Act Art.14(4)(e) (stop button) and Art.26(5); MAS TRM Ch.10 and Ch.13; ISO/IEC 42001 Cl.8 and Cl.10; comparative practice — see §8</w:t>
            </w:r>
          </w:p>
        </w:tc>
      </w:tr>
      <w:tr>
        <w:tc>
          <w:tcPr>
            <w:tcW w:type="dxa" w:w="21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Review cycle</w:t>
            </w:r>
          </w:p>
        </w:tc>
        <w:tc>
          <w:tcPr>
            <w:tcW w:type="dxa" w:w="74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Annual, or on any event trigger defined in Post_Deployment_Monitoring_and_Review_Policy §5</w:t>
            </w:r>
          </w:p>
        </w:tc>
      </w:tr>
      <w:tr>
        <w:tc>
          <w:tcPr>
            <w:tcW w:type="dxa" w:w="21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Nature of this document</w:t>
            </w:r>
          </w:p>
        </w:tc>
        <w:tc>
          <w:tcPr>
            <w:tcW w:type="dxa" w:w="74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Governance design artefact produced as part of a worked example. Figures, dates and named decisions are illustrative of how the control operates, not a record of a production deployment</w:t>
            </w:r>
          </w:p>
        </w:tc>
      </w:tr>
    </w:tbl>
    <w:p>
      <w:pPr>
        <w:spacing w:after="120" w:before="300"/>
      </w:pPr>
      <w:r>
        <w:rPr>
          <w:rFonts w:ascii="Calibri" w:cs="Calibri" w:eastAsia="Calibri" w:hAnsi="Calibri"/>
          <w:b/>
          <w:bCs/>
          <w:color w:val="1F3864"/>
          <w:sz w:val="24"/>
          <w:szCs w:val="24"/>
        </w:rPr>
        <w:t xml:space="preserve">Document control</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W w:type="dxa" w:w="900"/>
            <w:shd w:fill="1F3864"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Version</w:t>
            </w:r>
          </w:p>
        </w:tc>
        <w:tc>
          <w:tcPr>
            <w:tcW w:type="dxa" w:w="1100"/>
            <w:shd w:fill="1F3864"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Date</w:t>
            </w:r>
          </w:p>
        </w:tc>
        <w:tc>
          <w:tcPr>
            <w:tcW w:type="dxa" w:w="1800"/>
            <w:shd w:fill="1F3864"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Author</w:t>
            </w:r>
          </w:p>
        </w:tc>
        <w:tc>
          <w:tcPr>
            <w:tcW w:type="dxa" w:w="1900"/>
            <w:shd w:fill="1F3864"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Reviewer</w:t>
            </w:r>
          </w:p>
        </w:tc>
        <w:tc>
          <w:tcPr>
            <w:tcW w:type="dxa" w:w="1800"/>
            <w:shd w:fill="1F3864"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Approver</w:t>
            </w:r>
          </w:p>
        </w:tc>
        <w:tc>
          <w:tcPr>
            <w:tcW w:type="dxa" w:w="1000"/>
            <w:shd w:fill="1F3864"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Status</w:t>
            </w:r>
          </w:p>
        </w:tc>
        <w:tc>
          <w:tcPr>
            <w:tcW w:type="dxa" w:w="3000"/>
            <w:shd w:fill="1F3864"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Change summary</w:t>
            </w:r>
          </w:p>
        </w:tc>
      </w:tr>
      <w:tr>
        <w:tc>
          <w:tcPr>
            <w:tcW w:type="dxa" w:w="9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v1.0</w:t>
            </w:r>
          </w:p>
        </w:tc>
        <w:tc>
          <w:tcPr>
            <w:tcW w:type="dxa" w:w="11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2026-03-25</w:t>
            </w:r>
          </w:p>
        </w:tc>
        <w:tc>
          <w:tcPr>
            <w:tcW w:type="dxa" w:w="18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AI Governance Lead</w:t>
            </w:r>
          </w:p>
        </w:tc>
        <w:tc>
          <w:tcPr>
            <w:tcW w:type="dxa" w:w="19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CISO</w:t>
            </w:r>
          </w:p>
        </w:tc>
        <w:tc>
          <w:tcPr>
            <w:tcW w:type="dxa" w:w="18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AI Governance Committee</w:t>
            </w:r>
          </w:p>
        </w:tc>
        <w:tc>
          <w:tcPr>
            <w:tcW w:type="dxa" w:w="10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Superseded</w:t>
            </w:r>
          </w:p>
        </w:tc>
        <w:tc>
          <w:tcPr>
            <w:tcW w:type="dxa" w:w="30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Provision established at deployment approval</w:t>
            </w:r>
          </w:p>
        </w:tc>
      </w:tr>
      <w:tr>
        <w:tc>
          <w:tcPr>
            <w:tcW w:type="dxa" w:w="9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v2.0</w:t>
            </w:r>
          </w:p>
        </w:tc>
        <w:tc>
          <w:tcPr>
            <w:tcW w:type="dxa" w:w="11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2026-09-10</w:t>
            </w:r>
          </w:p>
        </w:tc>
        <w:tc>
          <w:tcPr>
            <w:tcW w:type="dxa" w:w="18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AI Governance Lead</w:t>
            </w:r>
          </w:p>
        </w:tc>
        <w:tc>
          <w:tcPr>
            <w:tcW w:type="dxa" w:w="19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CISO; Legal</w:t>
            </w:r>
          </w:p>
        </w:tc>
        <w:tc>
          <w:tcPr>
            <w:tcW w:type="dxa" w:w="18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Pending</w:t>
            </w:r>
          </w:p>
        </w:tc>
        <w:tc>
          <w:tcPr>
            <w:tcW w:type="dxa" w:w="10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Draft</w:t>
            </w:r>
          </w:p>
        </w:tc>
        <w:tc>
          <w:tcPr>
            <w:tcW w:type="dxa" w:w="30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Authored provision replacing a third-party regulatory reference previously held in this slot. Split authority formalised; comparative practice attributed in §8</w:t>
            </w:r>
          </w:p>
        </w:tc>
      </w:tr>
    </w:tbl>
    <w:p>
      <w:r>
        <w:br w:type="page"/>
      </w:r>
    </w:p>
    <w:p>
      <w:pPr>
        <w:pBdr>
          <w:left w:val="single" w:color="BF8F00" w:sz="18" w:space="8"/>
        </w:pBdr>
        <w:shd w:fill="FFF2CC" w:val="clear"/>
        <w:spacing w:after="200" w:before="80"/>
        <w:ind w:left="200"/>
      </w:pPr>
      <w:r>
        <w:rPr>
          <w:rFonts w:ascii="Calibri" w:cs="Calibri" w:eastAsia="Calibri" w:hAnsi="Calibri"/>
          <w:i/>
          <w:iCs/>
          <w:color w:val="7F6000"/>
          <w:sz w:val="20"/>
          <w:szCs w:val="20"/>
        </w:rPr>
        <w:t xml:space="preserve">⚠  Provenance, stated openly. Artefact A-34 previously held a third-party regulatory publication on AI kill-switch expectations, retained as reference reading. A published paper by another regulator is a useful input; it is not this organisation's control. This version is the organisation's own provision. Where the source material informed the design, it is cited as comparative practice in §8 rather than reproduced.</w:t>
      </w:r>
    </w:p>
    <w:p>
      <w:pPr>
        <w:pStyle w:val="Heading1"/>
        <w:spacing w:after="160" w:before="320"/>
      </w:pPr>
      <w:r>
        <w:rPr>
          <w:b/>
          <w:bCs/>
          <w:color w:val="1F3864"/>
          <w:sz w:val="30"/>
          <w:szCs w:val="30"/>
        </w:rPr>
        <w:t xml:space="preserve">1. Purpose</w:t>
      </w:r>
    </w:p>
    <w:p>
      <w:pPr>
        <w:spacing w:after="160" w:line="276"/>
      </w:pPr>
      <w:r>
        <w:rPr>
          <w:rFonts w:ascii="Calibri" w:cs="Calibri" w:eastAsia="Calibri" w:hAnsi="Calibri"/>
          <w:b w:val="false"/>
          <w:bCs w:val="false"/>
          <w:i w:val="false"/>
          <w:iCs w:val="false"/>
          <w:sz w:val="21"/>
          <w:szCs w:val="21"/>
        </w:rPr>
        <w:t xml:space="preserve">Establishes who may stop an AI system, on what signal, how quickly, and what happens next. It exists because the alternative — deciding these things during an incident — means deciding them badly.</w:t>
      </w:r>
    </w:p>
    <w:p>
      <w:pPr>
        <w:pBdr>
          <w:left w:val="single" w:color="1F3864" w:sz="18" w:space="8"/>
        </w:pBdr>
        <w:spacing w:after="200" w:before="120"/>
        <w:ind w:left="200"/>
      </w:pPr>
      <w:r>
        <w:rPr>
          <w:rFonts w:ascii="Calibri" w:cs="Calibri" w:eastAsia="Calibri" w:hAnsi="Calibri"/>
          <w:i/>
          <w:iCs/>
          <w:color w:val="1F3864"/>
          <w:sz w:val="22"/>
          <w:szCs w:val="22"/>
        </w:rPr>
        <w:t xml:space="preserve">Two failure modes sit either side of this provision. If only a committee may act, nobody can act at two in the morning. If anyone may act without constraint, the system is withdrawn on a false positive and the business stops trusting governance. The provision is the line between them.</w:t>
      </w:r>
    </w:p>
    <w:p>
      <w:pPr>
        <w:pStyle w:val="Heading1"/>
        <w:spacing w:after="160" w:before="320"/>
      </w:pPr>
      <w:r>
        <w:rPr>
          <w:b/>
          <w:bCs/>
          <w:color w:val="1F3864"/>
          <w:sz w:val="30"/>
          <w:szCs w:val="30"/>
        </w:rPr>
        <w:t xml:space="preserve">2. Scope</w:t>
      </w:r>
    </w:p>
    <w:p>
      <w:pPr>
        <w:spacing w:after="160" w:line="276"/>
      </w:pPr>
      <w:r>
        <w:rPr>
          <w:rFonts w:ascii="Calibri" w:cs="Calibri" w:eastAsia="Calibri" w:hAnsi="Calibri"/>
          <w:b w:val="false"/>
          <w:bCs w:val="false"/>
          <w:i w:val="false"/>
          <w:iCs w:val="false"/>
          <w:sz w:val="21"/>
          <w:szCs w:val="21"/>
        </w:rPr>
        <w:t xml:space="preserve">Applies to every AI system in AI_System_Inventory (A-02). The signals in §4 and the authority in §3 are system-agnostic; the technical suspension mechanism differs by system and is recorded per system in its profile.</w:t>
      </w:r>
    </w:p>
    <w:p>
      <w:pPr>
        <w:pStyle w:val="Heading1"/>
        <w:spacing w:after="160" w:before="320"/>
      </w:pPr>
      <w:r>
        <w:rPr>
          <w:b/>
          <w:bCs/>
          <w:color w:val="1F3864"/>
          <w:sz w:val="30"/>
          <w:szCs w:val="30"/>
        </w:rPr>
        <w:t xml:space="preserve">3. Split authority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2200"/>
            <w:shd w:fill="1F3864"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Action</w:t>
            </w:r>
          </w:p>
        </w:tc>
        <w:tc>
          <w:tcPr>
            <w:tcW w:type="dxa" w:w="2400"/>
            <w:shd w:fill="1F3864"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Who may authorise</w:t>
            </w:r>
          </w:p>
        </w:tc>
        <w:tc>
          <w:tcPr>
            <w:tcW w:type="dxa" w:w="1500"/>
            <w:shd w:fill="1F3864"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Prior approval</w:t>
            </w:r>
          </w:p>
        </w:tc>
        <w:tc>
          <w:tcPr>
            <w:tcW w:type="dxa" w:w="1900"/>
            <w:shd w:fill="1F3864"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Notification</w:t>
            </w:r>
          </w:p>
        </w:tc>
        <w:tc>
          <w:tcPr>
            <w:tcW w:type="dxa" w:w="1500"/>
            <w:shd w:fill="1F3864"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Automatic review</w:t>
            </w:r>
          </w:p>
        </w:tc>
      </w:tr>
      <w:tr>
        <w:tc>
          <w:tcPr>
            <w:tcW w:type="dxa" w:w="22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Immediate suspension</w:t>
            </w:r>
          </w:p>
        </w:tc>
        <w:tc>
          <w:tcPr>
            <w:tcW w:type="dxa" w:w="24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Named operational role — Security Operations on-call</w:t>
            </w:r>
          </w:p>
        </w:tc>
        <w:tc>
          <w:tcPr>
            <w:tcW w:type="dxa" w:w="15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None required</w:t>
            </w:r>
          </w:p>
        </w:tc>
        <w:tc>
          <w:tcPr>
            <w:tcW w:type="dxa" w:w="19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AI Governance Committee within 1 hour</w:t>
            </w:r>
          </w:p>
        </w:tc>
        <w:tc>
          <w:tcPr>
            <w:tcW w:type="dxa" w:w="15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Within 24 hours</w:t>
            </w:r>
          </w:p>
        </w:tc>
      </w:tr>
      <w:tr>
        <w:tc>
          <w:tcPr>
            <w:tcW w:type="dxa" w:w="22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Version rollback</w:t>
            </w:r>
          </w:p>
        </w:tc>
        <w:tc>
          <w:tcPr>
            <w:tcW w:type="dxa" w:w="24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AI Governance Lead with Security Architecture</w:t>
            </w:r>
          </w:p>
        </w:tc>
        <w:tc>
          <w:tcPr>
            <w:tcW w:type="dxa" w:w="15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None required</w:t>
            </w:r>
          </w:p>
        </w:tc>
        <w:tc>
          <w:tcPr>
            <w:tcW w:type="dxa" w:w="19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Next scheduled committee meeting</w:t>
            </w:r>
          </w:p>
        </w:tc>
        <w:tc>
          <w:tcPr>
            <w:tcW w:type="dxa" w:w="15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At that meeting</w:t>
            </w:r>
          </w:p>
        </w:tc>
      </w:tr>
      <w:tr>
        <w:tc>
          <w:tcPr>
            <w:tcW w:type="dxa" w:w="22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Threshold reversion</w:t>
            </w:r>
          </w:p>
        </w:tc>
        <w:tc>
          <w:tcPr>
            <w:tcW w:type="dxa" w:w="24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AI Governance Lead</w:t>
            </w:r>
          </w:p>
        </w:tc>
        <w:tc>
          <w:tcPr>
            <w:tcW w:type="dxa" w:w="15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None required</w:t>
            </w:r>
          </w:p>
        </w:tc>
        <w:tc>
          <w:tcPr>
            <w:tcW w:type="dxa" w:w="19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Recorded in the change log</w:t>
            </w:r>
          </w:p>
        </w:tc>
        <w:tc>
          <w:tcPr>
            <w:tcW w:type="dxa" w:w="15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Next meeting</w:t>
            </w:r>
          </w:p>
        </w:tc>
      </w:tr>
      <w:tr>
        <w:tc>
          <w:tcPr>
            <w:tcW w:type="dxa" w:w="22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Extended suspension beyond 72 hours</w:t>
            </w:r>
          </w:p>
        </w:tc>
        <w:tc>
          <w:tcPr>
            <w:tcW w:type="dxa" w:w="24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AI Governance Committee</w:t>
            </w:r>
          </w:p>
        </w:tc>
        <w:tc>
          <w:tcPr>
            <w:tcW w:type="dxa" w:w="15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Required</w:t>
            </w:r>
          </w:p>
        </w:tc>
        <w:tc>
          <w:tcPr>
            <w:tcW w:type="dxa" w:w="19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Board where material</w:t>
            </w:r>
          </w:p>
        </w:tc>
        <w:tc>
          <w:tcPr>
            <w:tcW w:type="dxa" w:w="15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Weekly until resolved</w:t>
            </w:r>
          </w:p>
        </w:tc>
      </w:tr>
      <w:tr>
        <w:tc>
          <w:tcPr>
            <w:tcW w:type="dxa" w:w="22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Permanent withdrawal</w:t>
            </w:r>
          </w:p>
        </w:tc>
        <w:tc>
          <w:tcPr>
            <w:tcW w:type="dxa" w:w="24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AI Governance Committee with the accountable business owner</w:t>
            </w:r>
          </w:p>
        </w:tc>
        <w:tc>
          <w:tcPr>
            <w:tcW w:type="dxa" w:w="15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Required</w:t>
            </w:r>
          </w:p>
        </w:tc>
        <w:tc>
          <w:tcPr>
            <w:tcW w:type="dxa" w:w="19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Board</w:t>
            </w:r>
          </w:p>
        </w:tc>
        <w:tc>
          <w:tcPr>
            <w:tcW w:type="dxa" w:w="15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N/A — decommissioning plan invoked</w:t>
            </w:r>
          </w:p>
        </w:tc>
      </w:tr>
    </w:tbl>
    <w:p>
      <w:pPr>
        <w:spacing w:after="160" w:line="276"/>
      </w:pPr>
      <w:r>
        <w:rPr>
          <w:rFonts w:ascii="Calibri" w:cs="Calibri" w:eastAsia="Calibri" w:hAnsi="Calibri"/>
          <w:b/>
          <w:bCs/>
          <w:i w:val="false"/>
          <w:iCs w:val="false"/>
          <w:sz w:val="21"/>
          <w:szCs w:val="21"/>
        </w:rPr>
        <w:t xml:space="preserve">The named operational role is a role, not an individual, and is covered by the on-call rota at all times. A control that only works in office hours is not an emergency control.</w:t>
      </w:r>
    </w:p>
    <w:p>
      <w:pPr>
        <w:pStyle w:val="Heading1"/>
        <w:spacing w:after="160" w:before="320"/>
      </w:pPr>
      <w:r>
        <w:rPr>
          <w:b/>
          <w:bCs/>
          <w:color w:val="1F3864"/>
          <w:sz w:val="30"/>
          <w:szCs w:val="30"/>
        </w:rPr>
        <w:t xml:space="preserve">4. Triggering signals</w:t>
      </w:r>
    </w:p>
    <w:p>
      <w:pPr>
        <w:spacing w:after="160" w:line="276"/>
      </w:pPr>
      <w:r>
        <w:rPr>
          <w:rFonts w:ascii="Calibri" w:cs="Calibri" w:eastAsia="Calibri" w:hAnsi="Calibri"/>
          <w:b w:val="false"/>
          <w:bCs w:val="false"/>
          <w:i w:val="false"/>
          <w:iCs w:val="false"/>
          <w:sz w:val="21"/>
          <w:szCs w:val="21"/>
        </w:rPr>
        <w:t xml:space="preserve">The signals below authorise immediate suspension without prior approval. They are deliberately narrow and objective — a signal requiring judgement about severity is a signal that will be debated while harm continues.</w:t>
      </w:r>
    </w:p>
    <w:p>
      <w:pPr>
        <w:pStyle w:val="ListParagraph"/>
        <w:numPr>
          <w:ilvl w:val="0"/>
          <w:numId w:val="2"/>
        </w:numPr>
        <w:spacing w:after="90"/>
      </w:pPr>
      <w:r>
        <w:rPr>
          <w:rFonts w:ascii="Calibri" w:cs="Calibri" w:eastAsia="Calibri" w:hAnsi="Calibri"/>
          <w:sz w:val="21"/>
          <w:szCs w:val="21"/>
        </w:rPr>
        <w:t xml:space="preserve">Evidence of any invocation reaching a model without the approved control set attached.</w:t>
      </w:r>
    </w:p>
    <w:p>
      <w:pPr>
        <w:pStyle w:val="ListParagraph"/>
        <w:numPr>
          <w:ilvl w:val="0"/>
          <w:numId w:val="2"/>
        </w:numPr>
        <w:spacing w:after="90"/>
      </w:pPr>
      <w:r>
        <w:rPr>
          <w:rFonts w:ascii="Calibri" w:cs="Calibri" w:eastAsia="Calibri" w:hAnsi="Calibri"/>
          <w:sz w:val="21"/>
          <w:szCs w:val="21"/>
        </w:rPr>
        <w:t xml:space="preserve">Confirmed personal data present in system output or in a downstream record.</w:t>
      </w:r>
    </w:p>
    <w:p>
      <w:pPr>
        <w:pStyle w:val="ListParagraph"/>
        <w:numPr>
          <w:ilvl w:val="0"/>
          <w:numId w:val="2"/>
        </w:numPr>
        <w:spacing w:after="90"/>
      </w:pPr>
      <w:r>
        <w:rPr>
          <w:rFonts w:ascii="Calibri" w:cs="Calibri" w:eastAsia="Calibri" w:hAnsi="Calibri"/>
          <w:sz w:val="21"/>
          <w:szCs w:val="21"/>
        </w:rPr>
        <w:t xml:space="preserve">Confirmed discriminatory outcome affecting one or more real applicants.</w:t>
      </w:r>
    </w:p>
    <w:p>
      <w:pPr>
        <w:pStyle w:val="ListParagraph"/>
        <w:numPr>
          <w:ilvl w:val="0"/>
          <w:numId w:val="2"/>
        </w:numPr>
        <w:spacing w:after="90"/>
      </w:pPr>
      <w:r>
        <w:rPr>
          <w:rFonts w:ascii="Calibri" w:cs="Calibri" w:eastAsia="Calibri" w:hAnsi="Calibri"/>
          <w:sz w:val="21"/>
          <w:szCs w:val="21"/>
        </w:rPr>
        <w:t xml:space="preserve">Evidence that the deployed control configuration differs from the approved and tested configuration.</w:t>
      </w:r>
    </w:p>
    <w:p>
      <w:pPr>
        <w:pStyle w:val="ListParagraph"/>
        <w:numPr>
          <w:ilvl w:val="0"/>
          <w:numId w:val="2"/>
        </w:numPr>
        <w:spacing w:after="90"/>
      </w:pPr>
      <w:r>
        <w:rPr>
          <w:rFonts w:ascii="Calibri" w:cs="Calibri" w:eastAsia="Calibri" w:hAnsi="Calibri"/>
          <w:sz w:val="21"/>
          <w:szCs w:val="21"/>
        </w:rPr>
        <w:t xml:space="preserve">Evidence that a model version is carrying production traffic without having passed the required test suite.</w:t>
      </w:r>
    </w:p>
    <w:p>
      <w:pPr>
        <w:pBdr>
          <w:left w:val="single" w:color="BF8F00" w:sz="18" w:space="8"/>
        </w:pBdr>
        <w:shd w:fill="FFF2CC" w:val="clear"/>
        <w:spacing w:after="200" w:before="80"/>
        <w:ind w:left="200"/>
      </w:pPr>
      <w:r>
        <w:rPr>
          <w:rFonts w:ascii="Calibri" w:cs="Calibri" w:eastAsia="Calibri" w:hAnsi="Calibri"/>
          <w:i/>
          <w:iCs/>
          <w:color w:val="7F6000"/>
          <w:sz w:val="20"/>
          <w:szCs w:val="20"/>
        </w:rPr>
        <w:t xml:space="preserve">⚠  Note what is absent. Poor output quality, elevated block rates, and customer complaints are not immediate-suspension signals — they are monitoring escalations under Post_Deployment_Monitoring_and_Review_Policy (A-30). Widening the list to cover them would make the on-call role responsible for quality judgements it is not positioned to make, and would eventually make suspension routine enough to be resisted.</w:t>
      </w:r>
    </w:p>
    <w:p>
      <w:pPr>
        <w:pStyle w:val="Heading1"/>
        <w:spacing w:after="160" w:before="320"/>
      </w:pPr>
      <w:r>
        <w:rPr>
          <w:b/>
          <w:bCs/>
          <w:color w:val="1F3864"/>
          <w:sz w:val="30"/>
          <w:szCs w:val="30"/>
        </w:rPr>
        <w:t xml:space="preserve">5. Mechanism</w:t>
      </w:r>
    </w:p>
    <w:p>
      <w:pPr>
        <w:pStyle w:val="ListParagraph"/>
        <w:numPr>
          <w:ilvl w:val="0"/>
          <w:numId w:val="3"/>
        </w:numPr>
        <w:spacing w:after="90"/>
      </w:pPr>
      <w:r>
        <w:rPr>
          <w:rFonts w:ascii="Calibri" w:cs="Calibri" w:eastAsia="Calibri" w:hAnsi="Calibri"/>
          <w:b/>
          <w:bCs/>
          <w:sz w:val="21"/>
          <w:szCs w:val="21"/>
        </w:rPr>
        <w:t xml:space="preserve">Suspension is executed at the permission layer. </w:t>
      </w:r>
      <w:r>
        <w:rPr>
          <w:rFonts w:ascii="Calibri" w:cs="Calibri" w:eastAsia="Calibri" w:hAnsi="Calibri"/>
          <w:sz w:val="21"/>
          <w:szCs w:val="21"/>
        </w:rPr>
        <w:t xml:space="preserve">Access to the model is revoked for the system's operating identity. This takes effect immediately, requires no deployment or code change, and is reversible by restoring the permission.</w:t>
      </w:r>
    </w:p>
    <w:p>
      <w:pPr>
        <w:pStyle w:val="ListParagraph"/>
        <w:numPr>
          <w:ilvl w:val="0"/>
          <w:numId w:val="3"/>
        </w:numPr>
        <w:spacing w:after="90"/>
      </w:pPr>
      <w:r>
        <w:rPr>
          <w:rFonts w:ascii="Calibri" w:cs="Calibri" w:eastAsia="Calibri" w:hAnsi="Calibri"/>
          <w:b/>
          <w:bCs/>
          <w:sz w:val="21"/>
          <w:szCs w:val="21"/>
        </w:rPr>
        <w:t xml:space="preserve">It does not depend on the application cooperating. </w:t>
      </w:r>
      <w:r>
        <w:rPr>
          <w:rFonts w:ascii="Calibri" w:cs="Calibri" w:eastAsia="Calibri" w:hAnsi="Calibri"/>
          <w:sz w:val="21"/>
          <w:szCs w:val="21"/>
        </w:rPr>
        <w:t xml:space="preserve">A suspension implemented as an application flag can be bypassed by the application. This is the same reasoning that places routine control enforcement at the permission layer rather than in application code.</w:t>
      </w:r>
    </w:p>
    <w:p>
      <w:pPr>
        <w:pStyle w:val="ListParagraph"/>
        <w:numPr>
          <w:ilvl w:val="0"/>
          <w:numId w:val="3"/>
        </w:numPr>
        <w:spacing w:after="90"/>
      </w:pPr>
      <w:r>
        <w:rPr>
          <w:rFonts w:ascii="Calibri" w:cs="Calibri" w:eastAsia="Calibri" w:hAnsi="Calibri"/>
          <w:b/>
          <w:bCs/>
          <w:sz w:val="21"/>
          <w:szCs w:val="21"/>
        </w:rPr>
        <w:t xml:space="preserve">In-flight requests. </w:t>
      </w:r>
      <w:r>
        <w:rPr>
          <w:rFonts w:ascii="Calibri" w:cs="Calibri" w:eastAsia="Calibri" w:hAnsi="Calibri"/>
          <w:sz w:val="21"/>
          <w:szCs w:val="21"/>
        </w:rPr>
        <w:t xml:space="preserve">Requests already in progress complete or fail; they are not silently altered. Any decision drafted in the suspension window is identified and manually re-reviewed.</w:t>
      </w:r>
    </w:p>
    <w:p>
      <w:pPr>
        <w:pStyle w:val="ListParagraph"/>
        <w:numPr>
          <w:ilvl w:val="0"/>
          <w:numId w:val="3"/>
        </w:numPr>
        <w:spacing w:after="90"/>
      </w:pPr>
      <w:r>
        <w:rPr>
          <w:rFonts w:ascii="Calibri" w:cs="Calibri" w:eastAsia="Calibri" w:hAnsi="Calibri"/>
          <w:b/>
          <w:bCs/>
          <w:sz w:val="21"/>
          <w:szCs w:val="21"/>
        </w:rPr>
        <w:t xml:space="preserve">Downstream behaviour is defined, not incidental. </w:t>
      </w:r>
      <w:r>
        <w:rPr>
          <w:rFonts w:ascii="Calibri" w:cs="Calibri" w:eastAsia="Calibri" w:hAnsi="Calibri"/>
          <w:sz w:val="21"/>
          <w:szCs w:val="21"/>
        </w:rPr>
        <w:t xml:space="preserve">The application must fail to a documented state — the loan officer sees that assistance is unavailable and proceeds manually. It must not fail to a state where a stale or partial output looks like a current recommendation.</w:t>
      </w:r>
    </w:p>
    <w:p>
      <w:pPr>
        <w:pStyle w:val="Heading1"/>
        <w:spacing w:after="160" w:before="320"/>
      </w:pPr>
      <w:r>
        <w:rPr>
          <w:b/>
          <w:bCs/>
          <w:color w:val="1F3864"/>
          <w:sz w:val="30"/>
          <w:szCs w:val="30"/>
        </w:rPr>
        <w:t xml:space="preserve">6. What happens after suspension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00"/>
            <w:shd w:fill="1F3864"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Step</w:t>
            </w:r>
          </w:p>
        </w:tc>
        <w:tc>
          <w:tcPr>
            <w:tcW w:type="dxa" w:w="2100"/>
            <w:shd w:fill="1F3864"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Timeframe</w:t>
            </w:r>
          </w:p>
        </w:tc>
        <w:tc>
          <w:tcPr>
            <w:tcW w:type="dxa" w:w="1900"/>
            <w:shd w:fill="1F3864"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Owner</w:t>
            </w:r>
          </w:p>
        </w:tc>
        <w:tc>
          <w:tcPr>
            <w:tcW w:type="dxa" w:w="3300"/>
            <w:shd w:fill="1F3864"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Detail</w:t>
            </w:r>
          </w:p>
        </w:tc>
      </w:tr>
      <w:tr>
        <w:tc>
          <w:tcPr>
            <w:tcW w:type="dxa" w:w="22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Committee notified</w:t>
            </w:r>
          </w:p>
        </w:tc>
        <w:tc>
          <w:tcPr>
            <w:tcW w:type="dxa" w:w="21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1 hour</w:t>
            </w:r>
          </w:p>
        </w:tc>
        <w:tc>
          <w:tcPr>
            <w:tcW w:type="dxa" w:w="19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Security Operations</w:t>
            </w:r>
          </w:p>
        </w:tc>
        <w:tc>
          <w:tcPr>
            <w:tcW w:type="dxa" w:w="33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Notification is mandatory regardless of the hour</w:t>
            </w:r>
          </w:p>
        </w:tc>
      </w:tr>
      <w:tr>
        <w:tc>
          <w:tcPr>
            <w:tcW w:type="dxa" w:w="22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Incident classified</w:t>
            </w:r>
          </w:p>
        </w:tc>
        <w:tc>
          <w:tcPr>
            <w:tcW w:type="dxa" w:w="21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2 hours</w:t>
            </w:r>
          </w:p>
        </w:tc>
        <w:tc>
          <w:tcPr>
            <w:tcW w:type="dxa" w:w="19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AI Governance Lead</w:t>
            </w:r>
          </w:p>
        </w:tc>
        <w:tc>
          <w:tcPr>
            <w:tcW w:type="dxa" w:w="33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Per AI-Incident-Response-Playbook (A-32) §3</w:t>
            </w:r>
          </w:p>
        </w:tc>
      </w:tr>
      <w:tr>
        <w:tc>
          <w:tcPr>
            <w:tcW w:type="dxa" w:w="22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Notification clocks assessed</w:t>
            </w:r>
          </w:p>
        </w:tc>
        <w:tc>
          <w:tcPr>
            <w:tcW w:type="dxa" w:w="21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1 hour (MAS) / on awareness (GDPR)</w:t>
            </w:r>
          </w:p>
        </w:tc>
        <w:tc>
          <w:tcPr>
            <w:tcW w:type="dxa" w:w="19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DPO with Compliance</w:t>
            </w:r>
          </w:p>
        </w:tc>
        <w:tc>
          <w:tcPr>
            <w:tcW w:type="dxa" w:w="33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Assessment starts the clock; delaying assessment does not delay the obligation</w:t>
            </w:r>
          </w:p>
        </w:tc>
      </w:tr>
      <w:tr>
        <w:tc>
          <w:tcPr>
            <w:tcW w:type="dxa" w:w="22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Scope identified</w:t>
            </w:r>
          </w:p>
        </w:tc>
        <w:tc>
          <w:tcPr>
            <w:tcW w:type="dxa" w:w="21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24 hours</w:t>
            </w:r>
          </w:p>
        </w:tc>
        <w:tc>
          <w:tcPr>
            <w:tcW w:type="dxa" w:w="19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AI Governance Lead</w:t>
            </w:r>
          </w:p>
        </w:tc>
        <w:tc>
          <w:tcPr>
            <w:tcW w:type="dxa" w:w="33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Every decision made through the affected path in the affected window</w:t>
            </w:r>
          </w:p>
        </w:tc>
      </w:tr>
      <w:tr>
        <w:tc>
          <w:tcPr>
            <w:tcW w:type="dxa" w:w="22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Automatic review</w:t>
            </w:r>
          </w:p>
        </w:tc>
        <w:tc>
          <w:tcPr>
            <w:tcW w:type="dxa" w:w="21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24 hours</w:t>
            </w:r>
          </w:p>
        </w:tc>
        <w:tc>
          <w:tcPr>
            <w:tcW w:type="dxa" w:w="19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AI Governance Committee</w:t>
            </w:r>
          </w:p>
        </w:tc>
        <w:tc>
          <w:tcPr>
            <w:tcW w:type="dxa" w:w="33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Confirm, extend, or lift the suspension</w:t>
            </w:r>
          </w:p>
        </w:tc>
      </w:tr>
      <w:tr>
        <w:tc>
          <w:tcPr>
            <w:tcW w:type="dxa" w:w="22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Affected decisions re-reviewed</w:t>
            </w:r>
          </w:p>
        </w:tc>
        <w:tc>
          <w:tcPr>
            <w:tcW w:type="dxa" w:w="21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Per scope</w:t>
            </w:r>
          </w:p>
        </w:tc>
        <w:tc>
          <w:tcPr>
            <w:tcW w:type="dxa" w:w="19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Loan Operations</w:t>
            </w:r>
          </w:p>
        </w:tc>
        <w:tc>
          <w:tcPr>
            <w:tcW w:type="dxa" w:w="33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Manually, by an officer who did not make the original decision</w:t>
            </w:r>
          </w:p>
        </w:tc>
      </w:tr>
      <w:tr>
        <w:tc>
          <w:tcPr>
            <w:tcW w:type="dxa" w:w="22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Post-incident review</w:t>
            </w:r>
          </w:p>
        </w:tc>
        <w:tc>
          <w:tcPr>
            <w:tcW w:type="dxa" w:w="21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10 working days</w:t>
            </w:r>
          </w:p>
        </w:tc>
        <w:tc>
          <w:tcPr>
            <w:tcW w:type="dxa" w:w="19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AI Governance Lead</w:t>
            </w:r>
          </w:p>
        </w:tc>
        <w:tc>
          <w:tcPr>
            <w:tcW w:type="dxa" w:w="33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Whether the control failed, was absent, or worked as designed against an unanticipated scenario</w:t>
            </w:r>
          </w:p>
        </w:tc>
      </w:tr>
    </w:tbl>
    <w:p>
      <w:pPr>
        <w:pStyle w:val="Heading1"/>
        <w:spacing w:after="160" w:before="320"/>
      </w:pPr>
      <w:r>
        <w:rPr>
          <w:b/>
          <w:bCs/>
          <w:color w:val="1F3864"/>
          <w:sz w:val="30"/>
          <w:szCs w:val="30"/>
        </w:rPr>
        <w:t xml:space="preserve">7. Testing this provision</w:t>
      </w:r>
    </w:p>
    <w:p>
      <w:pPr>
        <w:spacing w:after="160" w:line="276"/>
      </w:pPr>
      <w:r>
        <w:rPr>
          <w:rFonts w:ascii="Calibri" w:cs="Calibri" w:eastAsia="Calibri" w:hAnsi="Calibri"/>
          <w:b w:val="false"/>
          <w:bCs w:val="false"/>
          <w:i w:val="false"/>
          <w:iCs w:val="false"/>
          <w:sz w:val="21"/>
          <w:szCs w:val="21"/>
        </w:rPr>
        <w:t xml:space="preserve">A kill switch that has never been operated is a hypothesis. Testing requirements:</w:t>
      </w:r>
    </w:p>
    <w:p>
      <w:pPr>
        <w:pStyle w:val="ListParagraph"/>
        <w:numPr>
          <w:ilvl w:val="0"/>
          <w:numId w:val="3"/>
        </w:numPr>
        <w:spacing w:after="90"/>
      </w:pPr>
      <w:r>
        <w:rPr>
          <w:rFonts w:ascii="Calibri" w:cs="Calibri" w:eastAsia="Calibri" w:hAnsi="Calibri"/>
          <w:sz w:val="21"/>
          <w:szCs w:val="21"/>
        </w:rPr>
        <w:t xml:space="preserve">Semi-annual test of the suspension mechanism in a controlled window, measuring time to effect and time to reverse.</w:t>
      </w:r>
    </w:p>
    <w:p>
      <w:pPr>
        <w:pStyle w:val="ListParagraph"/>
        <w:numPr>
          <w:ilvl w:val="0"/>
          <w:numId w:val="3"/>
        </w:numPr>
        <w:spacing w:after="90"/>
      </w:pPr>
      <w:r>
        <w:rPr>
          <w:rFonts w:ascii="Calibri" w:cs="Calibri" w:eastAsia="Calibri" w:hAnsi="Calibri"/>
          <w:sz w:val="21"/>
          <w:szCs w:val="21"/>
        </w:rPr>
        <w:t xml:space="preserve">Every test recorded in Model_Monitoring_Dashboard_Rollback_Log (A-33) with both timings.</w:t>
      </w:r>
    </w:p>
    <w:p>
      <w:pPr>
        <w:pStyle w:val="ListParagraph"/>
        <w:numPr>
          <w:ilvl w:val="0"/>
          <w:numId w:val="3"/>
        </w:numPr>
        <w:spacing w:after="90"/>
      </w:pPr>
      <w:r>
        <w:rPr>
          <w:rFonts w:ascii="Calibri" w:cs="Calibri" w:eastAsia="Calibri" w:hAnsi="Calibri"/>
          <w:sz w:val="21"/>
          <w:szCs w:val="21"/>
        </w:rPr>
        <w:t xml:space="preserve">On-call staff must have exercised the mechanism, not merely read the procedure. Familiarity is the point of the test, not mechanism verification.</w:t>
      </w:r>
    </w:p>
    <w:p>
      <w:pPr>
        <w:pStyle w:val="ListParagraph"/>
        <w:numPr>
          <w:ilvl w:val="0"/>
          <w:numId w:val="3"/>
        </w:numPr>
        <w:spacing w:after="90"/>
      </w:pPr>
      <w:r>
        <w:rPr>
          <w:rFonts w:ascii="Calibri" w:cs="Calibri" w:eastAsia="Calibri" w:hAnsi="Calibri"/>
          <w:sz w:val="21"/>
          <w:szCs w:val="21"/>
        </w:rPr>
        <w:t xml:space="preserve">Re-tested after any change to the enforcement layer, the operating identity, or the on-call rota structure.</w:t>
      </w:r>
    </w:p>
    <w:p>
      <w:pPr>
        <w:spacing w:after="160" w:line="276"/>
      </w:pPr>
      <w:r>
        <w:rPr>
          <w:rFonts w:ascii="Calibri" w:cs="Calibri" w:eastAsia="Calibri" w:hAnsi="Calibri"/>
          <w:b w:val="false"/>
          <w:bCs w:val="false"/>
          <w:i/>
          <w:iCs/>
          <w:sz w:val="21"/>
          <w:szCs w:val="21"/>
        </w:rPr>
        <w:t xml:space="preserve">The most recent test recorded 4 minutes to effect and 3 minutes to reverse. Those figures matter less than the fact that a named person has done it before the night they need to.</w:t>
      </w:r>
    </w:p>
    <w:p>
      <w:pPr>
        <w:pStyle w:val="Heading1"/>
        <w:spacing w:after="160" w:before="320"/>
      </w:pPr>
      <w:r>
        <w:rPr>
          <w:b/>
          <w:bCs/>
          <w:color w:val="1F3864"/>
          <w:sz w:val="30"/>
          <w:szCs w:val="30"/>
        </w:rPr>
        <w:t xml:space="preserve">8. Comparative practice and sources</w:t>
      </w:r>
    </w:p>
    <w:p>
      <w:pPr>
        <w:spacing w:after="160" w:line="276"/>
      </w:pPr>
      <w:r>
        <w:rPr>
          <w:rFonts w:ascii="Calibri" w:cs="Calibri" w:eastAsia="Calibri" w:hAnsi="Calibri"/>
          <w:b w:val="false"/>
          <w:bCs w:val="false"/>
          <w:i w:val="false"/>
          <w:iCs w:val="false"/>
          <w:sz w:val="21"/>
          <w:szCs w:val="21"/>
        </w:rPr>
        <w:t xml:space="preserve">This provision was informed by external material, cited here rather than reproduced:</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600"/>
            <w:shd w:fill="1F3864"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Source</w:t>
            </w:r>
          </w:p>
        </w:tc>
        <w:tc>
          <w:tcPr>
            <w:tcW w:type="dxa" w:w="3400"/>
            <w:shd w:fill="1F3864"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What it contributed</w:t>
            </w:r>
          </w:p>
        </w:tc>
        <w:tc>
          <w:tcPr>
            <w:tcW w:type="dxa" w:w="3500"/>
            <w:shd w:fill="1F3864"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How this provision differs</w:t>
            </w:r>
          </w:p>
        </w:tc>
      </w:tr>
      <w:tr>
        <w:tc>
          <w:tcPr>
            <w:tcW w:type="dxa" w:w="26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Reserve Bank of India — supervisory material on AI kill-switch expectations in financial services</w:t>
            </w:r>
          </w:p>
        </w:tc>
        <w:tc>
          <w:tcPr>
            <w:tcW w:type="dxa" w:w="34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The principle that an emergency stop must be exercisable without waiting for a governance body, and that its existence should be testable rather than asserted</w:t>
            </w:r>
          </w:p>
        </w:tc>
        <w:tc>
          <w:tcPr>
            <w:tcW w:type="dxa" w:w="35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Adapted to this organisation's committee structure and to the EU AI Act obligations that also apply. The split-authority model and the 24-hour automatic review are this organisation's design</w:t>
            </w:r>
          </w:p>
        </w:tc>
      </w:tr>
      <w:tr>
        <w:tc>
          <w:tcPr>
            <w:tcW w:type="dxa" w:w="26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EU AI Act Art.14(4)(e)</w:t>
            </w:r>
          </w:p>
        </w:tc>
        <w:tc>
          <w:tcPr>
            <w:tcW w:type="dxa" w:w="34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The requirement that overseeing persons can intervene or interrupt the system through a stop button or comparable procedure</w:t>
            </w:r>
          </w:p>
        </w:tc>
        <w:tc>
          <w:tcPr>
            <w:tcW w:type="dxa" w:w="35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Art.14 addresses the human overseeing individual decisions. This provision addresses system-level suspension, which is a different control and is stated separately</w:t>
            </w:r>
          </w:p>
        </w:tc>
      </w:tr>
      <w:tr>
        <w:tc>
          <w:tcPr>
            <w:tcW w:type="dxa" w:w="26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ISO/IEC 42001 Cl.10</w:t>
            </w:r>
          </w:p>
        </w:tc>
        <w:tc>
          <w:tcPr>
            <w:tcW w:type="dxa" w:w="34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Improvement and corrective action framing for post-incident review</w:t>
            </w:r>
          </w:p>
        </w:tc>
        <w:tc>
          <w:tcPr>
            <w:tcW w:type="dxa" w:w="35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Applied to §6 step 7</w:t>
            </w:r>
          </w:p>
        </w:tc>
      </w:tr>
    </w:tbl>
    <w:p>
      <w:pPr>
        <w:spacing w:after="160" w:line="276"/>
      </w:pPr>
      <w:r>
        <w:rPr>
          <w:rFonts w:ascii="Calibri" w:cs="Calibri" w:eastAsia="Calibri" w:hAnsi="Calibri"/>
          <w:b w:val="false"/>
          <w:bCs w:val="false"/>
          <w:i/>
          <w:iCs/>
          <w:sz w:val="21"/>
          <w:szCs w:val="21"/>
        </w:rPr>
        <w:t xml:space="preserve">Naming the sources costs nothing and answers a question a reviewer would otherwise ask. Adapting another regulator's expectations to your own jurisdiction and structure is legitimate governance work; presenting their publication as your control is not.</w:t>
      </w:r>
    </w:p>
    <w:p>
      <w:pPr>
        <w:pStyle w:val="Heading1"/>
        <w:spacing w:after="160" w:before="320"/>
      </w:pPr>
      <w:r>
        <w:rPr>
          <w:b/>
          <w:bCs/>
          <w:color w:val="1F3864"/>
          <w:sz w:val="30"/>
          <w:szCs w:val="30"/>
        </w:rPr>
        <w:t xml:space="preserve">9. Review</w:t>
      </w:r>
    </w:p>
    <w:p>
      <w:pPr>
        <w:spacing w:after="160" w:line="276"/>
      </w:pPr>
      <w:r>
        <w:rPr>
          <w:rFonts w:ascii="Calibri" w:cs="Calibri" w:eastAsia="Calibri" w:hAnsi="Calibri"/>
          <w:b w:val="false"/>
          <w:bCs w:val="false"/>
          <w:i w:val="false"/>
          <w:iCs w:val="false"/>
          <w:sz w:val="21"/>
          <w:szCs w:val="21"/>
        </w:rPr>
        <w:t xml:space="preserve">Annual, and after any suspension event, any failed test, or any change to the enforcement mechanism or on-call structure.</w:t>
      </w:r>
    </w:p>
    <w:sectPr>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abstractNum w:abstractNumId="3" w15:restartNumberingAfterBreak="0">
    <w:multiLevelType w:val="hybridMultilevel"/>
    <w:lvl w:ilvl="0" w15:tentative="1">
      <w:start w:val="1"/>
      <w:numFmt w:val="decimal"/>
      <w:lvlText w:val="%1."/>
      <w:lvlJc w:val="left"/>
      <w:pPr>
        <w:ind w:left="40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rPr>
  </w:style>
  <w:style w:type="paragraph" w:styleId="Heading2">
    <w:name w:val="Heading 2"/>
    <w:basedOn w:val="Normal"/>
    <w:next w:val="Normal"/>
    <w:qFormat/>
    <w:rPr>
      <w:rFonts w:ascii="Calibri" w:cs="Calibri" w:eastAsia="Calibri" w:hAnsi="Calibri"/>
    </w:rPr>
  </w:style>
  <w:style w:type="paragraph" w:styleId="Heading3">
    <w:name w:val="Heading 3"/>
    <w:basedOn w:val="Normal"/>
    <w:next w:val="Normal"/>
    <w:qFormat/>
    <w:rPr>
      <w:rFonts w:ascii="Calibri" w:cs="Calibri" w:eastAsia="Calibri" w:hAnsi="Calibri"/>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2026-09-10T15:46:51.613Z</dcterms:created>
  <dcterms:modified xsi:type="dcterms:W3CDTF">2026-09-10T15:46:51.613Z</dcterms:modified>
</cp:coreProperties>
</file>

<file path=docProps/custom.xml><?xml version="1.0" encoding="utf-8"?>
<Properties xmlns="http://schemas.openxmlformats.org/officeDocument/2006/custom-properties" xmlns:vt="http://schemas.openxmlformats.org/officeDocument/2006/docPropsVTypes"/>
</file>