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PANOPTIC Privacy Assessment &amp; Data Protection Impact Assessment</w:t>
      </w:r>
    </w:p>
    <w:p>
      <w:pPr>
        <w:spacing w:after="300"/>
      </w:pPr>
      <w:r>
        <w:rPr>
          <w:rFonts w:ascii="Calibri" w:cs="Calibri" w:eastAsia="Calibri" w:hAnsi="Calibri"/>
          <w:i/>
          <w:iCs/>
          <w:color w:val="44546A"/>
          <w:sz w:val="23"/>
          <w:szCs w:val="23"/>
        </w:rPr>
        <w:t xml:space="preserve">Credit Decisioning Assistant — Artefact A-35, v2.0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A-35</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PANOPTIC Privacy Assessment &amp; Data Protection Impact Assessment</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Data Protection Officer</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 on DPO recommendation</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GDPR Art.35 DPIA, Art.22 automated decision-making, Art.5 principles, Art.13–15 information and access rights; Singapore PDPA Protection, Accountability and Retention Limitation Obligations; PDPC Guide to DPIAs; EU AI Act Art.10 and Art.26(9); MITRE PANOPTIC privacy threat taxonomy</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v1.0</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2026-02-12</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Legal</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DPO</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Superseded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Conventional DPIA, single-layer system</w:t>
            </w:r>
          </w:p>
        </w:tc>
      </w:tr>
      <w:tr>
        <w:tc>
          <w:tcPr>
            <w:tcW w:type="dxa" w:w="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v2.0</w:t>
            </w:r>
          </w:p>
        </w:tc>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2026-09-13</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Legal; Model Risk</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Pending</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Draft</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Recreated. PANOPTIC threat modelling applied across six data lifecycle stages; scoring-layer feature store and tokenisation boundary added</w:t>
            </w:r>
          </w:p>
        </w:tc>
      </w:tr>
    </w:tbl>
    <w:p>
      <w:pPr>
        <w:pBdr>
          <w:left w:val="single" w:color="2E75B6" w:sz="18" w:space="8"/>
        </w:pBdr>
        <w:shd w:fill="DEEAF6" w:val="clear"/>
        <w:spacing w:after="210" w:before="110"/>
        <w:ind w:left="220"/>
      </w:pPr>
      <w:r>
        <w:rPr>
          <w:rFonts w:ascii="Calibri" w:cs="Calibri" w:eastAsia="Calibri" w:hAnsi="Calibri"/>
          <w:b/>
          <w:bCs/>
          <w:color w:val="1F4E79"/>
          <w:sz w:val="20"/>
          <w:szCs w:val="20"/>
        </w:rPr>
        <w:t xml:space="preserve">RECREATED — </w:t>
      </w:r>
      <w:r>
        <w:rPr>
          <w:rFonts w:ascii="Calibri" w:cs="Calibri" w:eastAsia="Calibri" w:hAnsi="Calibri"/>
          <w:color w:val="1F4E79"/>
          <w:sz w:val="20"/>
          <w:szCs w:val="20"/>
        </w:rPr>
        <w:t xml:space="preserve">The prior version assessed a single-layer system whose only data surface was a policy corpus. The hybrid architecture introduces a feature store holding structured applicant and bureau records, a tokenisation boundary, and a scoring model trained on historical outcomes — three personal-data surfaces the earlier assessment had no reason to consider. PANOPTIC threat modelling was also not applied.</w:t>
      </w:r>
    </w:p>
    <w:p>
      <w:r>
        <w:br w:type="page"/>
      </w:r>
    </w:p>
    <w:p>
      <w:pPr>
        <w:pStyle w:val="Heading1"/>
        <w:spacing w:after="160" w:before="320"/>
      </w:pPr>
      <w:r>
        <w:rPr>
          <w:b/>
          <w:bCs/>
          <w:color w:val="1F3864"/>
          <w:sz w:val="30"/>
          <w:szCs w:val="30"/>
        </w:rPr>
        <w:t xml:space="preserve">1. Why this assessment is required</w:t>
      </w:r>
    </w:p>
    <w:p>
      <w:pPr>
        <w:spacing w:after="160" w:line="276"/>
      </w:pPr>
      <w:r>
        <w:rPr>
          <w:rFonts w:ascii="Calibri" w:cs="Calibri" w:eastAsia="Calibri" w:hAnsi="Calibri"/>
          <w:b w:val="false"/>
          <w:bCs w:val="false"/>
          <w:i w:val="false"/>
          <w:iCs w:val="false"/>
          <w:sz w:val="21"/>
          <w:szCs w:val="21"/>
        </w:rPr>
        <w:t xml:space="preserve">Three GDPR Article 35(3) triggers apply simultaneously: systematic and extensive evaluation of personal aspects based on automated processing, processing on a large scale, and evaluation producing legal or similarly significant effects. Under the Singapore PDPA the assessment is not mandated in the same terms, but PDPC guidance treats it as expected practice for this class of processing and the Accountability Obligation makes its absence difficult to defend.</w:t>
      </w:r>
    </w:p>
    <w:p>
      <w:pPr>
        <w:spacing w:after="160" w:line="276"/>
      </w:pPr>
      <w:r>
        <w:rPr>
          <w:rFonts w:ascii="Calibri" w:cs="Calibri" w:eastAsia="Calibri" w:hAnsi="Calibri"/>
          <w:b w:val="false"/>
          <w:bCs w:val="false"/>
          <w:i/>
          <w:iCs/>
          <w:sz w:val="21"/>
          <w:szCs w:val="21"/>
        </w:rPr>
        <w:t xml:space="preserve">There is a second reason independent of any regulator. This assessment is the only artefact that forces a structured question about what the system can infer rather than what it was given — and the proxy-attribute finding that later blocked a gate was foreshadowed here before it was measured.</w:t>
      </w:r>
    </w:p>
    <w:p>
      <w:pPr>
        <w:pStyle w:val="Heading1"/>
        <w:spacing w:after="160" w:before="320"/>
      </w:pPr>
      <w:r>
        <w:rPr>
          <w:b/>
          <w:bCs/>
          <w:color w:val="1F3864"/>
          <w:sz w:val="30"/>
          <w:szCs w:val="30"/>
        </w:rPr>
        <w:t xml:space="preserve">2. Description of the processing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Aspect</w:t>
            </w:r>
          </w:p>
        </w:tc>
        <w:tc>
          <w:tcPr>
            <w:tcW w:type="dxa" w:w="7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Purpose</w:t>
            </w:r>
          </w:p>
        </w:tc>
        <w:tc>
          <w:tcPr>
            <w:tcW w:type="dxa" w:w="7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Producing a credit score and decision recommendation, and narrating it into a policy-cited rationale for underwriter review</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w:t>
            </w:r>
          </w:p>
        </w:tc>
        <w:tc>
          <w:tcPr>
            <w:tcW w:type="dxa" w:w="7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Hybrid. Structured applicant and bureau data feeds a trained scoring model; the score and its principal drivers, with retrieved policy passages, feed a generative narration layer</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Personal data — scoring layer</w:t>
            </w:r>
          </w:p>
        </w:tc>
        <w:tc>
          <w:tcPr>
            <w:tcW w:type="dxa" w:w="7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Identity, contact, income, employment tenure, existing debt, credit history, requested amount, bureau records</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Personal data — narration layer</w:t>
            </w:r>
          </w:p>
        </w:tc>
        <w:tc>
          <w:tcPr>
            <w:tcW w:type="dxa" w:w="7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Only the score, its drivers, and the applicant figures necessary to state the rationale. No raw identifiers</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Personal data — corpus</w:t>
            </w:r>
          </w:p>
        </w:tc>
        <w:tc>
          <w:tcPr>
            <w:tcW w:type="dxa" w:w="7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None. The retrieval corpus is policy, not people</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Special category data</w:t>
            </w:r>
          </w:p>
        </w:tc>
        <w:tc>
          <w:tcPr>
            <w:tcW w:type="dxa" w:w="7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None intentionally processed. See §4 — the assessment identifies inference risk rather than direct collection</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Data subjects</w:t>
            </w:r>
          </w:p>
        </w:tc>
        <w:tc>
          <w:tcPr>
            <w:tcW w:type="dxa" w:w="7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Retail credit applicants, including declined applicants who bear the greatest impact with the least visibility</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Recipients</w:t>
            </w:r>
          </w:p>
        </w:tc>
        <w:tc>
          <w:tcPr>
            <w:tcW w:type="dxa" w:w="7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Underwriters; internal audit; the model provider's infrastructure under contractual training exclusion</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Retention</w:t>
            </w:r>
          </w:p>
        </w:tc>
        <w:tc>
          <w:tcPr>
            <w:tcW w:type="dxa" w:w="73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Invocation records for the operational life of the system plus seven years, per MAS TRM 11.2.3</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Transfers</w:t>
            </w:r>
          </w:p>
        </w:tc>
        <w:tc>
          <w:tcPr>
            <w:tcW w:type="dxa" w:w="73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None outside the designated jurisdiction. Residency is a control condition, not a preference</w:t>
            </w:r>
          </w:p>
        </w:tc>
      </w:tr>
    </w:tbl>
    <w:p>
      <w:pPr>
        <w:pStyle w:val="Heading1"/>
        <w:spacing w:after="160" w:before="320"/>
      </w:pPr>
      <w:r>
        <w:rPr>
          <w:b/>
          <w:bCs/>
          <w:color w:val="1F3864"/>
          <w:sz w:val="30"/>
          <w:szCs w:val="30"/>
        </w:rPr>
        <w:t xml:space="preserve">3. PANOPTIC threat modelling across the data lifecycle</w:t>
      </w:r>
    </w:p>
    <w:p>
      <w:pPr>
        <w:spacing w:after="160" w:line="276"/>
      </w:pPr>
      <w:r>
        <w:rPr>
          <w:rFonts w:ascii="Calibri" w:cs="Calibri" w:eastAsia="Calibri" w:hAnsi="Calibri"/>
          <w:b w:val="false"/>
          <w:bCs w:val="false"/>
          <w:i w:val="false"/>
          <w:iCs w:val="false"/>
          <w:sz w:val="21"/>
          <w:szCs w:val="21"/>
        </w:rPr>
        <w:t xml:space="preserve">MITRE PANOPTIC — Pattern and Action Nomenclature Of Privacy Threats In Context — was applied alongside conventional privacy-by-design principles. It earns its place over security-centric threat modelling for one property: it treats inaction as a threat. Failure to delete, excessive retention and undisclosed reuse are not attacks, and a security model does not surface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Lifecycle stage</w:t>
            </w:r>
          </w:p>
        </w:tc>
        <w:tc>
          <w:tcPr>
            <w:tcW w:type="dxa" w:w="2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PANOPTIC threat class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How it presents here</w:t>
            </w:r>
          </w:p>
        </w:tc>
        <w:tc>
          <w:tcPr>
            <w:tcW w:type="dxa" w:w="2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Control applied</w:t>
            </w:r>
          </w:p>
        </w:tc>
      </w:tr>
      <w:tr>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Pre-collection</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Purpose creep — data collected for one stated purpose becoming available for another</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Bureau data obtained for scoring becoming available to the narration prompt without a separate purpose assessment</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Purpose declaration per field; narration receives only score, drivers and stated figures</w:t>
            </w:r>
          </w:p>
        </w:tc>
      </w:tr>
      <w:tr>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Ingestion</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Excessive collection; identifier propagation beyond necessity</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Direct identifiers reaching the modelling environment where they serve no modelling purpose</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Tokenisation and pseudonymisation at the ingestion boundary; re-identification map under separate key custody</w:t>
            </w:r>
          </w:p>
        </w:tc>
      </w:tr>
      <w:tr>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Preparation</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Undisclosed derivation — inference of attributes never supplied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STAGE WHERE THE FINDING AROSE. Postal district in corpus metadata acting as a proxy for ethnicity and income band</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Mandatory inference assessment per field before ingestion; proxy assessment against jurisdiction-specific proxies</w:t>
            </w:r>
          </w:p>
        </w:tc>
      </w:tr>
      <w:tr>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Storage</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Aggregation harm; over-retention as a standing exposure</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Feature store and audit store together enabling reconstruction beyond either one's purpose</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Segregated key custody; read access to audit records separated from the operational role; retention bounded at creation</w:t>
            </w:r>
          </w:p>
        </w:tc>
      </w:tr>
      <w:tr>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Post-AI monitoring</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Reuse of audit records beyond their stated purpose</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Invocation logs built for regulatory auditability repurposed for performance management or marketing analysis</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Access segregation; stated permitted-use limitation on the audit store</w:t>
            </w:r>
          </w:p>
        </w:tc>
      </w:tr>
      <w:tr>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Retention / disposal</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Failure to delete — the inaction threat PANOPTIC exists to express</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seven-year retention obligation itself becoming a privacy harm for data not covered by it</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Verified disposal of personal data not required by the obligation; annual retrieval test on what is retained</w:t>
            </w:r>
          </w:p>
        </w:tc>
      </w:tr>
    </w:tbl>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The retention/disposal row is the one conventional threat modelling does not produce. For a system whose audit trail is deliberately immutable and locked for seven years, the risk that the protective control becomes the harm is real and is not an attack. Identifying it required a taxonomy that expresses inaction.</w:t>
      </w:r>
    </w:p>
    <w:p>
      <w:pPr>
        <w:pStyle w:val="Heading1"/>
        <w:spacing w:after="160" w:before="320"/>
      </w:pPr>
      <w:r>
        <w:rPr>
          <w:b/>
          <w:bCs/>
          <w:color w:val="1F3864"/>
          <w:sz w:val="30"/>
          <w:szCs w:val="30"/>
        </w:rPr>
        <w:t xml:space="preserve">4. Risks to data subjects</w:t>
      </w:r>
    </w:p>
    <w:p>
      <w:pPr>
        <w:spacing w:after="160" w:line="276"/>
      </w:pPr>
      <w:r>
        <w:rPr>
          <w:rFonts w:ascii="Calibri" w:cs="Calibri" w:eastAsia="Calibri" w:hAnsi="Calibri"/>
          <w:b w:val="false"/>
          <w:bCs w:val="false"/>
          <w:i w:val="false"/>
          <w:iCs w:val="false"/>
          <w:sz w:val="21"/>
          <w:szCs w:val="21"/>
        </w:rPr>
        <w:t xml:space="preserve">Assessed from the applicant's perspective. A risk minor operationally can be severe for the individual bearing 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Risk to the individual</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Likelihood</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Severity</w:t>
            </w:r>
          </w:p>
        </w:tc>
        <w:tc>
          <w:tcPr>
            <w:tcW w:type="dxa" w:w="3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Mitigation</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Residual</w:t>
            </w:r>
          </w:p>
        </w:tc>
      </w:tr>
      <w:tr>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Decision influenced by an inferred protected characteristic never disclosed</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Severe</w:t>
            </w:r>
          </w:p>
        </w:tc>
        <w:tc>
          <w:tcPr>
            <w:tcW w:type="dxa" w:w="3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Proxy testing with pre-declared thresholds; postal district removed from metadata and added to redaction; quarterly re-test</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Low</w:t>
            </w:r>
          </w:p>
        </w:tc>
      </w:tr>
      <w:tr>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Being given an adverse-action reason that is not the actual basis</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Severe</w:t>
            </w:r>
          </w:p>
        </w:tc>
        <w:tc>
          <w:tcPr>
            <w:tcW w:type="dxa" w:w="3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SHAP attribution names the specific driver; mandatory passage-level citation; the rationale shown, recorded and communicated are one statement</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Low</w:t>
            </w:r>
          </w:p>
        </w:tc>
      </w:tr>
      <w:tr>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Personal data in narration output or persisting in audit logs</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Serious</w:t>
            </w:r>
          </w:p>
        </w:tc>
        <w:tc>
          <w:tcPr>
            <w:tcW w:type="dxa" w:w="3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Six-entity redaction applied before output and before the record is written</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Low</w:t>
            </w:r>
          </w:p>
        </w:tc>
      </w:tr>
      <w:tr>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Decision effectively automated because review became a formality</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Severe</w:t>
            </w:r>
          </w:p>
        </w:tc>
        <w:tc>
          <w:tcPr>
            <w:tcW w:type="dxa" w:w="3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Two-sided override band; below-band escalates as a control failure</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 — monitored</w:t>
            </w:r>
          </w:p>
        </w:tc>
      </w:tr>
      <w:tr>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Inability to contest meaningfully</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Serious</w:t>
            </w:r>
          </w:p>
        </w:tc>
        <w:tc>
          <w:tcPr>
            <w:tcW w:type="dxa" w:w="3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Independent re-review by a different underwriter within ten working days</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Low</w:t>
            </w:r>
          </w:p>
        </w:tc>
      </w:tr>
      <w:tr>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Model extraction or membership inference against the scoring layer</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Low</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Serious</w:t>
            </w:r>
          </w:p>
        </w:tc>
        <w:tc>
          <w:tcPr>
            <w:tcW w:type="dxa" w:w="3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Per-identity rate limiting; anomaly detection; no per-record confidence exposure</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Medium — monitored</w:t>
            </w:r>
          </w:p>
        </w:tc>
      </w:tr>
      <w:tr>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Data used to train the provider's model</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Low</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Serious</w:t>
            </w:r>
          </w:p>
        </w:tc>
        <w:tc>
          <w:tcPr>
            <w:tcW w:type="dxa" w:w="3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Contractual and technical training exclusion verified at vendor due diligence; residency enforced</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Low</w:t>
            </w:r>
          </w:p>
        </w:tc>
      </w:tr>
    </w:tbl>
    <w:p>
      <w:pPr>
        <w:pStyle w:val="Heading1"/>
        <w:spacing w:after="160" w:before="320"/>
      </w:pPr>
      <w:r>
        <w:rPr>
          <w:b/>
          <w:bCs/>
          <w:color w:val="1F3864"/>
          <w:sz w:val="30"/>
          <w:szCs w:val="30"/>
        </w:rPr>
        <w:t xml:space="preserve">5. Article 22 assessment</w:t>
      </w:r>
    </w:p>
    <w:p>
      <w:pPr>
        <w:spacing w:after="160" w:line="276"/>
      </w:pPr>
      <w:r>
        <w:rPr>
          <w:rFonts w:ascii="Calibri" w:cs="Calibri" w:eastAsia="Calibri" w:hAnsi="Calibri"/>
          <w:b w:val="false"/>
          <w:bCs w:val="false"/>
          <w:i w:val="false"/>
          <w:iCs w:val="false"/>
          <w:sz w:val="21"/>
          <w:szCs w:val="21"/>
        </w:rPr>
        <w:t xml:space="preserve">The business position was that a human decides, so Article 22 is not engaged. That holds only if human involvement is meaningful, and both case law and regulatory guidance are clear that a review which does not genuinely alter outcomes is not meaningful involvement.</w:t>
      </w:r>
    </w:p>
    <w:p>
      <w:pPr>
        <w:pStyle w:val="ListParagraph"/>
        <w:numPr>
          <w:ilvl w:val="0"/>
          <w:numId w:val="2"/>
        </w:numPr>
        <w:spacing w:after="90"/>
      </w:pPr>
      <w:r>
        <w:rPr>
          <w:rFonts w:ascii="Calibri" w:cs="Calibri" w:eastAsia="Calibri" w:hAnsi="Calibri"/>
          <w:b/>
          <w:bCs/>
          <w:sz w:val="21"/>
          <w:szCs w:val="21"/>
        </w:rPr>
        <w:t xml:space="preserve">Conclusion reached: </w:t>
      </w:r>
      <w:r>
        <w:rPr>
          <w:rFonts w:ascii="Calibri" w:cs="Calibri" w:eastAsia="Calibri" w:hAnsi="Calibri"/>
          <w:sz w:val="21"/>
          <w:szCs w:val="21"/>
        </w:rPr>
        <w:t xml:space="preserve">Article 22 is treated as engaged. The system is designed and controlled as though the applicant has a right to human intervention, to express a point of view, and to contest the decision — because the alternative is relying on an argument the bank would have to win under challenge rather than a control it can evidence.</w:t>
      </w:r>
    </w:p>
    <w:p>
      <w:pPr>
        <w:pStyle w:val="ListParagraph"/>
        <w:numPr>
          <w:ilvl w:val="0"/>
          <w:numId w:val="2"/>
        </w:numPr>
        <w:spacing w:after="90"/>
      </w:pPr>
      <w:r>
        <w:rPr>
          <w:rFonts w:ascii="Calibri" w:cs="Calibri" w:eastAsia="Calibri" w:hAnsi="Calibri"/>
          <w:b/>
          <w:bCs/>
          <w:sz w:val="21"/>
          <w:szCs w:val="21"/>
        </w:rPr>
        <w:t xml:space="preserve">What this requires operationally: </w:t>
      </w:r>
      <w:r>
        <w:rPr>
          <w:rFonts w:ascii="Calibri" w:cs="Calibri" w:eastAsia="Calibri" w:hAnsi="Calibri"/>
          <w:sz w:val="21"/>
          <w:szCs w:val="21"/>
        </w:rPr>
        <w:t xml:space="preserve">the underwriter must be able to reach a different conclusion and must sometimes do so. This is why the override rate is monitored as a two-sided band rather than a quality metric — a rate approaching zero is evidence that Article 22 is engaged and the safeguard has failed.</w:t>
      </w:r>
    </w:p>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This is the most contestable judgement in the assessment and is recorded as a judgement rather than a fact. A different DPO could reasonably conclude the other way. What would not be defensible is leaving the question unaddressed, or resolving it in the bank's favour without stating the reasoning.</w:t>
      </w:r>
    </w:p>
    <w:p>
      <w:pPr>
        <w:pStyle w:val="Heading1"/>
        <w:spacing w:after="160" w:before="320"/>
      </w:pPr>
      <w:r>
        <w:rPr>
          <w:b/>
          <w:bCs/>
          <w:color w:val="1F3864"/>
          <w:sz w:val="30"/>
          <w:szCs w:val="30"/>
        </w:rPr>
        <w:t xml:space="preserve">6. Necessity and proportionality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Question</w:t>
            </w:r>
          </w:p>
        </w:tc>
        <w:tc>
          <w:tcPr>
            <w:tcW w:type="dxa" w:w="7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Assessment</w:t>
            </w:r>
          </w:p>
        </w:tc>
      </w:tr>
      <w:tr>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Could the purpose be achieved without AI?</w:t>
            </w:r>
          </w:p>
        </w:tc>
        <w:tc>
          <w:tcPr>
            <w:tcW w:type="dxa" w:w="7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Partly. The scoring function could be a simpler statistical model and the narration could remain manual. The processing is justified on consistency and adverse-action reason quality, not necessity</w:t>
            </w:r>
          </w:p>
        </w:tc>
      </w:tr>
      <w:tr>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Is all the data necessary?</w:t>
            </w:r>
          </w:p>
        </w:tc>
        <w:tc>
          <w:tcPr>
            <w:tcW w:type="dxa" w:w="7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Not at first design, and this is the assessment's most consequential finding. Postal district was carried into corpus metadata with no stated purpose and was removed following §3. Data minimisation was not satisfied at first design</w:t>
            </w:r>
          </w:p>
        </w:tc>
      </w:tr>
      <w:tr>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Is there a less intrusive alternative?</w:t>
            </w:r>
          </w:p>
        </w:tc>
        <w:tc>
          <w:tcPr>
            <w:tcW w:type="dxa" w:w="7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 rules-based template system would process less data but cannot ground a rationale in the specific applicable clause — the harm the project exists to fix. The trade-off is documented rather than assumed away</w:t>
            </w:r>
          </w:p>
        </w:tc>
      </w:tr>
      <w:tr>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Is retention proportionate?</w:t>
            </w:r>
          </w:p>
        </w:tc>
        <w:tc>
          <w:tcPr>
            <w:tcW w:type="dxa" w:w="7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The seven-year period is externally imposed by regulatory obligation rather than business preference, and the data is held immutably rather than actively used</w:t>
            </w:r>
          </w:p>
        </w:tc>
      </w:tr>
    </w:tbl>
    <w:p>
      <w:pPr>
        <w:pStyle w:val="Heading1"/>
        <w:spacing w:after="160" w:before="320"/>
      </w:pPr>
      <w:r>
        <w:rPr>
          <w:b/>
          <w:bCs/>
          <w:color w:val="1F3864"/>
          <w:sz w:val="30"/>
          <w:szCs w:val="30"/>
        </w:rPr>
        <w:t xml:space="preserve">7. Outcome and conditions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Condition</w:t>
            </w:r>
          </w:p>
        </w:tc>
        <w:tc>
          <w:tcPr>
            <w:tcW w:type="dxa" w:w="2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c>
          <w:tcPr>
            <w:tcW w:type="dxa" w:w="3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Verification</w:t>
            </w:r>
          </w:p>
        </w:tc>
      </w:tr>
      <w:tr>
        <w:tc>
          <w:tcPr>
            <w:tcW w:type="dxa" w:w="4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Postal district remains excluded from retrieval metadata and within the redaction entity set</w:t>
            </w:r>
          </w:p>
        </w:tc>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Monthly corpus integrity check</w:t>
            </w:r>
          </w:p>
        </w:tc>
      </w:tr>
      <w:tr>
        <w:tc>
          <w:tcPr>
            <w:tcW w:type="dxa" w:w="4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Inference assessment completed for every new metadata or feature field before ingestion</w:t>
            </w:r>
          </w:p>
        </w:tc>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Pre-ingestion gate</w:t>
            </w:r>
          </w:p>
        </w:tc>
      </w:tr>
      <w:tr>
        <w:tc>
          <w:tcPr>
            <w:tcW w:type="dxa" w:w="4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Proxy testing re-run quarterly and on any corpus, feature set or model version change</w:t>
            </w:r>
          </w:p>
        </w:tc>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Model Risk</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A-15 retest log</w:t>
            </w:r>
          </w:p>
        </w:tc>
      </w:tr>
      <w:tr>
        <w:tc>
          <w:tcPr>
            <w:tcW w:type="dxa" w:w="4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Override rate monitored monthly against the band with below-band performance escalated</w:t>
            </w:r>
          </w:p>
        </w:tc>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Lending Ops</w:t>
            </w:r>
          </w:p>
        </w:tc>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A-30 metric M-05</w:t>
            </w:r>
          </w:p>
        </w:tc>
      </w:tr>
      <w:tr>
        <w:tc>
          <w:tcPr>
            <w:tcW w:type="dxa" w:w="4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Recourse procedure operational before the first live decision</w:t>
            </w:r>
          </w:p>
        </w:tc>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Compliance</w:t>
            </w:r>
          </w:p>
        </w:tc>
        <w:tc>
          <w:tcPr>
            <w:tcW w:type="dxa" w:w="3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A-37 sign-off</w:t>
            </w:r>
          </w:p>
        </w:tc>
      </w:tr>
      <w:tr>
        <w:tc>
          <w:tcPr>
            <w:tcW w:type="dxa" w:w="4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Tokenisation boundary verified — no direct identifiers in the modelling environment</w:t>
            </w:r>
          </w:p>
        </w:tc>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DPO</w:t>
            </w:r>
          </w:p>
        </w:tc>
        <w:tc>
          <w:tcPr>
            <w:tcW w:type="dxa" w:w="3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Sample inspection, quarterly</w:t>
            </w:r>
          </w:p>
        </w:tc>
      </w:tr>
    </w:tbl>
    <w:p>
      <w:pPr>
        <w:spacing w:after="160" w:line="276"/>
      </w:pPr>
      <w:r>
        <w:rPr>
          <w:rFonts w:ascii="Calibri" w:cs="Calibri" w:eastAsia="Calibri" w:hAnsi="Calibri"/>
          <w:b w:val="false"/>
          <w:bCs w:val="false"/>
          <w:i/>
          <w:iCs/>
          <w:sz w:val="21"/>
          <w:szCs w:val="21"/>
        </w:rPr>
        <w:t xml:space="preserve">Accepted residual risk: oversight decay. It cannot be eliminated by design because it is behavioural and only manifests under production volume. It is managed by measurement, and the measurement threshold is the control.</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2026-09-13T09:02:17.641Z</dcterms:created>
  <dcterms:modified xsi:type="dcterms:W3CDTF">2026-09-13T09:02:17.641Z</dcterms:modified>
</cp:coreProperties>
</file>

<file path=docProps/custom.xml><?xml version="1.0" encoding="utf-8"?>
<Properties xmlns="http://schemas.openxmlformats.org/officeDocument/2006/custom-properties" xmlns:vt="http://schemas.openxmlformats.org/officeDocument/2006/docPropsVTypes"/>
</file>