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Human Oversight and Escalation Procedure</w:t>
      </w:r>
    </w:p>
    <w:p>
      <w:pPr>
        <w:spacing w:after="300"/>
      </w:pPr>
      <w:r>
        <w:rPr>
          <w:rFonts w:ascii="Calibri" w:cs="Calibri" w:eastAsia="Calibri" w:hAnsi="Calibri"/>
          <w:i/>
          <w:iCs/>
          <w:color w:val="44546A"/>
          <w:sz w:val="23"/>
          <w:szCs w:val="23"/>
        </w:rPr>
        <w:t xml:space="preserve">Credit Decisioning Assistant (CDA) — Artefact A-36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Artefact ID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A-36</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Title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Human Oversight and Escalation Procedure — Credit Decisioning Assistant</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governed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(CDA) — retrieval-grounded foundation-model assistant supporting retail credit decisions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Document owner</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Head of Loan Operations</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Approving authority</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Classification</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Internal — AI governance framework</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basis</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EU AI Act Art.14 (human oversight) and Art.26(2); GDPR Art.22(3); MAS FEAT Accountability; MAS TRM Ch.9</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cycle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 or on any event trigger defined in Post_Deployment_Monitoring_and_Review_Policy §5</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 of this document</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design artefact produced as part of a worked example. Figures, dates and named decisions are illustrative of how the control operates, not a record of a production deployment</w:t>
            </w:r>
          </w:p>
        </w:tc>
      </w:tr>
    </w:tbl>
    <w:p>
      <w:pPr>
        <w:spacing w:after="120" w:before="300"/>
      </w:pPr>
      <w:r>
        <w:rPr>
          <w:rFonts w:ascii="Calibri" w:cs="Calibri" w:eastAsia="Calibri" w:hAnsi="Calibri"/>
          <w:b/>
          <w:bCs/>
          <w:color w:val="1F3864"/>
          <w:sz w:val="24"/>
          <w:szCs w:val="24"/>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Reviewer</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Approver</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Change summary</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v0.1</w:t>
            </w:r>
          </w:p>
        </w:tc>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2026-03-02</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Draft</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Extracted from the ethics policy as an operational procedure</w:t>
            </w:r>
          </w:p>
        </w:tc>
      </w:tr>
      <w:tr>
        <w:tc>
          <w:tcPr>
            <w:tcW w:type="dxa" w:w="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v1.0</w:t>
            </w:r>
          </w:p>
        </w:tc>
        <w:tc>
          <w:tcPr>
            <w:tcW w:type="dxa" w:w="1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2026-03-18</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Loan Operations; Compliance</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Approved</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Approved at the human oversight decision point</w:t>
            </w:r>
          </w:p>
        </w:tc>
      </w:tr>
    </w:tbl>
    <w:p>
      <w:r>
        <w:br w:type="page"/>
      </w:r>
    </w:p>
    <w:p>
      <w:pPr>
        <w:pStyle w:val="Heading1"/>
        <w:spacing w:after="160" w:before="320"/>
      </w:pPr>
      <w:r>
        <w:rPr>
          <w:b/>
          <w:bCs/>
          <w:color w:val="1F3864"/>
          <w:sz w:val="30"/>
          <w:szCs w:val="30"/>
        </w:rPr>
        <w:t xml:space="preserve">1. Why this is a procedure and not a policy</w:t>
      </w:r>
    </w:p>
    <w:p>
      <w:pPr>
        <w:spacing w:after="160" w:line="276"/>
      </w:pPr>
      <w:r>
        <w:rPr>
          <w:rFonts w:ascii="Calibri" w:cs="Calibri" w:eastAsia="Calibri" w:hAnsi="Calibri"/>
          <w:b w:val="false"/>
          <w:bCs w:val="false"/>
          <w:i w:val="false"/>
          <w:iCs w:val="false"/>
          <w:sz w:val="21"/>
          <w:szCs w:val="21"/>
        </w:rPr>
        <w:t xml:space="preserve">AI_Ethics_and_Responsible_Use_Policy states that a human must be able to review and override. That is a principle, and a principle cannot be tested. This document states what the reviewer must actually do, what they may not delegate, how long it takes, and how compliance is measured — which is what makes oversight a control rather than an assertion.</w:t>
      </w:r>
    </w:p>
    <w:p>
      <w:pPr>
        <w:spacing w:after="160" w:line="276"/>
      </w:pPr>
      <w:r>
        <w:rPr>
          <w:rFonts w:ascii="Calibri" w:cs="Calibri" w:eastAsia="Calibri" w:hAnsi="Calibri"/>
          <w:b w:val="false"/>
          <w:bCs w:val="false"/>
          <w:i w:val="false"/>
          <w:iCs w:val="false"/>
          <w:sz w:val="21"/>
          <w:szCs w:val="21"/>
        </w:rPr>
        <w:t xml:space="preserve">The distinction is the difference between satisfying Article 14 on paper and satisfying it in substance. A regulator examining human oversight will not ask whether the policy requires it. They will ask what the reviewer checked, how you know, and what happened the last time the reviewer disagreed with the model.</w:t>
      </w:r>
    </w:p>
    <w:p>
      <w:pPr>
        <w:pStyle w:val="Heading1"/>
        <w:spacing w:after="160" w:before="320"/>
      </w:pPr>
      <w:r>
        <w:rPr>
          <w:b/>
          <w:bCs/>
          <w:color w:val="1F3864"/>
          <w:sz w:val="30"/>
          <w:szCs w:val="30"/>
        </w:rPr>
        <w:t xml:space="preserve">2. Scope and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Role</w:t>
            </w:r>
          </w:p>
        </w:tc>
        <w:tc>
          <w:tcPr>
            <w:tcW w:type="dxa" w:w="3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Responsibility</w:t>
            </w:r>
          </w:p>
        </w:tc>
        <w:tc>
          <w:tcPr>
            <w:tcW w:type="dxa" w:w="3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May not</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Reviewing loan officer</w:t>
            </w:r>
          </w:p>
        </w:tc>
        <w:tc>
          <w:tcPr>
            <w:tcW w:type="dxa" w:w="3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Reviews every drafted rationale before any decision is recorded. Verifies the four checks in §3. Records the decision and, where applicable, the reason for departing from the draft</w:t>
            </w:r>
          </w:p>
        </w:tc>
        <w:tc>
          <w:tcPr>
            <w:tcW w:type="dxa" w:w="3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Action a recommendation without completing the four checks. Delegate review to a colleague without recording the transfer</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Senior loan officer</w:t>
            </w:r>
          </w:p>
        </w:tc>
        <w:tc>
          <w:tcPr>
            <w:tcW w:type="dxa" w:w="3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Handles escalations under §5. Conducts re-review where an applicant contests a decision</w:t>
            </w:r>
          </w:p>
        </w:tc>
        <w:tc>
          <w:tcPr>
            <w:tcW w:type="dxa" w:w="3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Re-review a decision they made originally — recourse requires a different reviewer</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Loan Operations lead</w:t>
            </w:r>
          </w:p>
        </w:tc>
        <w:tc>
          <w:tcPr>
            <w:tcW w:type="dxa" w:w="3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Owns this procedure. Monitors override rate and review duration. Escalates below-band performance as a control failure</w:t>
            </w:r>
          </w:p>
        </w:tc>
        <w:tc>
          <w:tcPr>
            <w:tcW w:type="dxa" w:w="3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Adjust the override band without AI Governance Committee approval</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3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Approves this procedure and any amendment to the thresholds in §6</w:t>
            </w:r>
          </w:p>
        </w:tc>
        <w:tc>
          <w:tcPr>
            <w:tcW w:type="dxa" w:w="3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Waive the four checks for volume reasons</w:t>
            </w:r>
          </w:p>
        </w:tc>
      </w:tr>
    </w:tbl>
    <w:p>
      <w:pPr>
        <w:pStyle w:val="Heading1"/>
        <w:spacing w:after="160" w:before="320"/>
      </w:pPr>
      <w:r>
        <w:rPr>
          <w:b/>
          <w:bCs/>
          <w:color w:val="1F3864"/>
          <w:sz w:val="30"/>
          <w:szCs w:val="30"/>
        </w:rPr>
        <w:t xml:space="preserve">3. The four checks — what the reviewer must verify</w:t>
      </w:r>
    </w:p>
    <w:p>
      <w:pPr>
        <w:spacing w:after="160" w:line="276"/>
      </w:pPr>
      <w:r>
        <w:rPr>
          <w:rFonts w:ascii="Calibri" w:cs="Calibri" w:eastAsia="Calibri" w:hAnsi="Calibri"/>
          <w:b w:val="false"/>
          <w:bCs w:val="false"/>
          <w:i w:val="false"/>
          <w:iCs w:val="false"/>
          <w:sz w:val="21"/>
          <w:szCs w:val="21"/>
        </w:rPr>
        <w:t xml:space="preserve">Every drafted rationale, without exception. The checks are ordered so the cheapest disqualifying failure is found first.</w:t>
      </w:r>
    </w:p>
    <w:p>
      <w:pPr>
        <w:pStyle w:val="ListParagraph"/>
        <w:numPr>
          <w:ilvl w:val="0"/>
          <w:numId w:val="2"/>
        </w:numPr>
        <w:spacing w:after="90"/>
      </w:pPr>
      <w:r>
        <w:rPr>
          <w:rFonts w:ascii="Calibri" w:cs="Calibri" w:eastAsia="Calibri" w:hAnsi="Calibri"/>
          <w:sz w:val="21"/>
          <w:szCs w:val="21"/>
        </w:rPr>
        <w:t xml:space="preserve">Citation resolves. The cited policy passage exists and is the passage shown. A citation to a document rather than a passage fails this check.</w:t>
      </w:r>
    </w:p>
    <w:p>
      <w:pPr>
        <w:pStyle w:val="ListParagraph"/>
        <w:numPr>
          <w:ilvl w:val="0"/>
          <w:numId w:val="2"/>
        </w:numPr>
        <w:spacing w:after="90"/>
      </w:pPr>
      <w:r>
        <w:rPr>
          <w:rFonts w:ascii="Calibri" w:cs="Calibri" w:eastAsia="Calibri" w:hAnsi="Calibri"/>
          <w:sz w:val="21"/>
          <w:szCs w:val="21"/>
        </w:rPr>
        <w:t xml:space="preserve">Citation supports the conclusion. The passage actually says what the rationale claims it says. This is the check most often skipped and the one that catches a confidently-worded but unsupported recommendation.</w:t>
      </w:r>
    </w:p>
    <w:p>
      <w:pPr>
        <w:pStyle w:val="ListParagraph"/>
        <w:numPr>
          <w:ilvl w:val="0"/>
          <w:numId w:val="2"/>
        </w:numPr>
        <w:spacing w:after="90"/>
      </w:pPr>
      <w:r>
        <w:rPr>
          <w:rFonts w:ascii="Calibri" w:cs="Calibri" w:eastAsia="Calibri" w:hAnsi="Calibri"/>
          <w:sz w:val="21"/>
          <w:szCs w:val="21"/>
        </w:rPr>
        <w:t xml:space="preserve">Inputs are correct. The applicant figures quoted in the rationale match the application. A correct conclusion drawn from a transposed income figure is still a wrong decision.</w:t>
      </w:r>
    </w:p>
    <w:p>
      <w:pPr>
        <w:pStyle w:val="ListParagraph"/>
        <w:numPr>
          <w:ilvl w:val="0"/>
          <w:numId w:val="2"/>
        </w:numPr>
        <w:spacing w:after="90"/>
      </w:pPr>
      <w:r>
        <w:rPr>
          <w:rFonts w:ascii="Calibri" w:cs="Calibri" w:eastAsia="Calibri" w:hAnsi="Calibri"/>
          <w:sz w:val="21"/>
          <w:szCs w:val="21"/>
        </w:rPr>
        <w:t xml:space="preserve">Nothing impermissible informed the outcome. The rationale does not reference, imply, or rest on location, name, age, gender, or any characteristic outside the permitted decision factors. If it does, the reviewer stops and escalates under §5 rather than editing it out.</w:t>
      </w:r>
    </w:p>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Check 4 is an escalation trigger, not an editing instruction. A rationale that references an impermissible factor is evidence of a control failure affecting every other application processed that day. Quietly correcting one instance conceals a systemic problem — which is why the procedure requires the officer to stop rather than fix.</w:t>
      </w:r>
    </w:p>
    <w:p>
      <w:pPr>
        <w:pStyle w:val="Heading1"/>
        <w:spacing w:after="160" w:before="320"/>
      </w:pPr>
      <w:r>
        <w:rPr>
          <w:b/>
          <w:bCs/>
          <w:color w:val="1F3864"/>
          <w:sz w:val="30"/>
          <w:szCs w:val="30"/>
        </w:rPr>
        <w:t xml:space="preserve">4. What the reviewer may not delegate</w:t>
      </w:r>
    </w:p>
    <w:p>
      <w:pPr>
        <w:pStyle w:val="ListParagraph"/>
        <w:numPr>
          <w:ilvl w:val="0"/>
          <w:numId w:val="3"/>
        </w:numPr>
        <w:spacing w:after="90"/>
      </w:pPr>
      <w:r>
        <w:rPr>
          <w:rFonts w:ascii="Calibri" w:cs="Calibri" w:eastAsia="Calibri" w:hAnsi="Calibri"/>
          <w:sz w:val="21"/>
          <w:szCs w:val="21"/>
        </w:rPr>
        <w:t xml:space="preserve">The judgement itself. The officer may consult a colleague; they may not have a colleague perform the four checks on their behalf without recording the transfer of review.</w:t>
      </w:r>
    </w:p>
    <w:p>
      <w:pPr>
        <w:pStyle w:val="ListParagraph"/>
        <w:numPr>
          <w:ilvl w:val="0"/>
          <w:numId w:val="3"/>
        </w:numPr>
        <w:spacing w:after="90"/>
      </w:pPr>
      <w:r>
        <w:rPr>
          <w:rFonts w:ascii="Calibri" w:cs="Calibri" w:eastAsia="Calibri" w:hAnsi="Calibri"/>
          <w:sz w:val="21"/>
          <w:szCs w:val="21"/>
        </w:rPr>
        <w:t xml:space="preserve">Acceptance of a rationale they do not understand. If the reviewer cannot follow why the cited clause supports the conclusion, the correct action is escalation, not acceptance. Accepting an unclear rationale is the precise behaviour Article 14 exists to prevent.</w:t>
      </w:r>
    </w:p>
    <w:p>
      <w:pPr>
        <w:pStyle w:val="ListParagraph"/>
        <w:numPr>
          <w:ilvl w:val="0"/>
          <w:numId w:val="3"/>
        </w:numPr>
        <w:spacing w:after="90"/>
      </w:pPr>
      <w:r>
        <w:rPr>
          <w:rFonts w:ascii="Calibri" w:cs="Calibri" w:eastAsia="Calibri" w:hAnsi="Calibri"/>
          <w:sz w:val="21"/>
          <w:szCs w:val="21"/>
        </w:rPr>
        <w:t xml:space="preserve">Bulk acceptance. The interface does not support multi-select acceptance and must not be modified to. Every decision is reviewed individually.</w:t>
      </w:r>
    </w:p>
    <w:p>
      <w:pPr>
        <w:pStyle w:val="Heading1"/>
        <w:spacing w:after="160" w:before="320"/>
      </w:pPr>
      <w:r>
        <w:rPr>
          <w:b/>
          <w:bCs/>
          <w:color w:val="1F3864"/>
          <w:sz w:val="30"/>
          <w:szCs w:val="30"/>
        </w:rPr>
        <w:t xml:space="preserve">5. Escalation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Trigger</w:t>
            </w:r>
          </w:p>
        </w:tc>
        <w:tc>
          <w:tcPr>
            <w:tcW w:type="dxa" w:w="2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Escalate to</w:t>
            </w:r>
          </w:p>
        </w:tc>
        <w:tc>
          <w:tcPr>
            <w:tcW w:type="dxa" w:w="1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Timeframe</w:t>
            </w:r>
          </w:p>
        </w:tc>
        <w:tc>
          <w:tcPr>
            <w:tcW w:type="dxa" w:w="2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Action</w:t>
            </w:r>
          </w:p>
        </w:tc>
      </w:tr>
      <w:tr>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Rationale references an impermissible factor (check 4 failure)</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Loan Operations lead → AI Governance Lead</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Immediately, before the next application</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Officer stops using the system pending confirmation. Same-day sample review of the day's decisions</w:t>
            </w:r>
          </w:p>
        </w:tc>
      </w:tr>
      <w:tr>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Cited passage does not support the conclusion, twice in one session</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Loan Operations lead</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Same day</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Sample review; if confirmed, raised as a grounding control failure</w:t>
            </w:r>
          </w:p>
        </w:tc>
      </w:tr>
      <w:tr>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Reviewer cannot determine whether the rationale is sound</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Senior loan officer</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Before the decision is recorded</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Manual decision without the draft; instance logged for pattern analysis</w:t>
            </w:r>
          </w:p>
        </w:tc>
      </w:tr>
      <w:tr>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Applicant contests a decision</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Senior loan officer (not the original reviewer)</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 A-37 timeframes</w:t>
            </w:r>
          </w:p>
        </w:tc>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Full re-review under Adverse_Action_and_Customer_Recourse_Procedure</w:t>
            </w:r>
          </w:p>
        </w:tc>
      </w:tr>
      <w:tr>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Suspected personal data exposure in output</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Loan Operations lead → DPO → CISO</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Immediately</w:t>
            </w:r>
          </w:p>
        </w:tc>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Incident procedure invoked; system suspension considered under the kill-switch provision</w:t>
            </w:r>
          </w:p>
        </w:tc>
      </w:tr>
    </w:tbl>
    <w:p>
      <w:pPr>
        <w:pStyle w:val="Heading1"/>
        <w:spacing w:after="160" w:before="320"/>
      </w:pPr>
      <w:r>
        <w:rPr>
          <w:b/>
          <w:bCs/>
          <w:color w:val="1F3864"/>
          <w:sz w:val="30"/>
          <w:szCs w:val="30"/>
        </w:rPr>
        <w:t xml:space="preserve">6. How oversight is measured</w:t>
      </w:r>
    </w:p>
    <w:p>
      <w:pPr>
        <w:spacing w:after="160" w:line="276"/>
      </w:pPr>
      <w:r>
        <w:rPr>
          <w:rFonts w:ascii="Calibri" w:cs="Calibri" w:eastAsia="Calibri" w:hAnsi="Calibri"/>
          <w:b w:val="false"/>
          <w:bCs w:val="false"/>
          <w:i w:val="false"/>
          <w:iCs w:val="false"/>
          <w:sz w:val="21"/>
          <w:szCs w:val="21"/>
        </w:rPr>
        <w:t xml:space="preserve">A procedure nobody measures is a procedure nobody follows. Three metrics, with the first deliberately two-sided.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Metric</w:t>
            </w:r>
          </w:p>
        </w:tc>
        <w:tc>
          <w:tcPr>
            <w:tcW w:type="dxa" w:w="1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Threshold</w:t>
            </w:r>
          </w:p>
        </w:tc>
        <w:tc>
          <w:tcPr>
            <w:tcW w:type="dxa" w:w="3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Why this shape</w:t>
            </w:r>
          </w:p>
        </w:tc>
        <w:tc>
          <w:tcPr>
            <w:tcW w:type="dxa" w:w="1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Owner</w:t>
            </w:r>
          </w:p>
        </w:tc>
      </w:tr>
      <w:tr>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Override rate — proportion of drafts materially altered or rejected</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15%–40% band</w:t>
            </w:r>
          </w:p>
        </w:tc>
        <w:tc>
          <w:tcPr>
            <w:tcW w:type="dxa" w:w="3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Below 15% indicates review has become a formality; above 40% indicates the system is not fit for purpose. Both ends are failures, of different kinds. A one-sided threshold treating low override as success would reward the exact decay Article 14 prohibits</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Loan Operations</w:t>
            </w:r>
          </w:p>
        </w:tc>
      </w:tr>
      <w:tr>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Median review duration</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Not below a defined floor</w:t>
            </w:r>
          </w:p>
        </w:tc>
        <w:tc>
          <w:tcPr>
            <w:tcW w:type="dxa" w:w="3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 review consistently completed faster than the four checks can physically be performed is evidence the checks are not being performed</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Loan Operations</w:t>
            </w:r>
          </w:p>
        </w:tc>
      </w:tr>
      <w:tr>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Check 4 escalation count</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Any occurrence investigated</w:t>
            </w:r>
          </w:p>
        </w:tc>
        <w:tc>
          <w:tcPr>
            <w:tcW w:type="dxa" w:w="3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Zero escalations over an extended period is itself worth examining — either the control upstream is working, or officers have stopped looking</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w:t>
            </w:r>
          </w:p>
        </w:tc>
      </w:tr>
    </w:tbl>
    <w:p>
      <w:pPr>
        <w:pStyle w:val="Heading1"/>
        <w:spacing w:after="160" w:before="320"/>
      </w:pPr>
      <w:r>
        <w:rPr>
          <w:b/>
          <w:bCs/>
          <w:color w:val="1F3864"/>
          <w:sz w:val="30"/>
          <w:szCs w:val="30"/>
        </w:rPr>
        <w:t xml:space="preserve">7. Competency requirement</w:t>
      </w:r>
    </w:p>
    <w:p>
      <w:pPr>
        <w:spacing w:after="160" w:line="276"/>
      </w:pPr>
      <w:r>
        <w:rPr>
          <w:rFonts w:ascii="Calibri" w:cs="Calibri" w:eastAsia="Calibri" w:hAnsi="Calibri"/>
          <w:b w:val="false"/>
          <w:bCs w:val="false"/>
          <w:i w:val="false"/>
          <w:iCs w:val="false"/>
          <w:sz w:val="21"/>
          <w:szCs w:val="21"/>
        </w:rPr>
        <w:t xml:space="preserve">A reviewer cannot exercise meaningful oversight over a system they do not understand. Every officer performing this review must hold current competency recorded in AI_Literacy_and_Competency_Record (A-38), covering: what the system does and does not do, the four checks, the known limitations in Model_Card, and the escalation routes above. This is an EU AI Act Article 4 obligation and applies to users of the system, not only to those who build it.</w:t>
      </w:r>
    </w:p>
    <w:p>
      <w:pPr>
        <w:spacing w:after="160" w:line="276"/>
      </w:pPr>
      <w:r>
        <w:rPr>
          <w:rFonts w:ascii="Calibri" w:cs="Calibri" w:eastAsia="Calibri" w:hAnsi="Calibri"/>
          <w:b w:val="false"/>
          <w:bCs w:val="false"/>
          <w:i/>
          <w:iCs/>
          <w:sz w:val="21"/>
          <w:szCs w:val="21"/>
        </w:rPr>
        <w:t xml:space="preserve">Competency lapses on any material change to the system. A model version change or a change to the four checks requires re-attestation before the officer resumes review.</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2026-09-10T08:30:13.186Z</dcterms:created>
  <dcterms:modified xsi:type="dcterms:W3CDTF">2026-09-10T08:30:13.186Z</dcterms:modified>
</cp:coreProperties>
</file>

<file path=docProps/custom.xml><?xml version="1.0" encoding="utf-8"?>
<Properties xmlns="http://schemas.openxmlformats.org/officeDocument/2006/custom-properties" xmlns:vt="http://schemas.openxmlformats.org/officeDocument/2006/docPropsVTypes"/>
</file>