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40"/>
          <w:szCs w:val="40"/>
        </w:rPr>
        <w:t xml:space="preserve">Adverse Action and Customer Recourse Procedure</w:t>
      </w:r>
    </w:p>
    <w:p>
      <w:pPr>
        <w:spacing w:after="300"/>
      </w:pPr>
      <w:r>
        <w:rPr>
          <w:rFonts w:ascii="Calibri" w:cs="Calibri" w:eastAsia="Calibri" w:hAnsi="Calibri"/>
          <w:i/>
          <w:iCs/>
          <w:color w:val="44546A"/>
          <w:sz w:val="23"/>
          <w:szCs w:val="23"/>
        </w:rPr>
        <w:t xml:space="preserve">Credit Decisioning Assistant (CDA) — Artefact A-37</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1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Field</w:t>
            </w:r>
          </w:p>
        </w:tc>
        <w:tc>
          <w:tcPr>
            <w:tcW w:type="dxa" w:w="74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Detail</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Artefact ID</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A-37</w:t>
            </w:r>
          </w:p>
        </w:tc>
      </w:tr>
      <w:tr>
        <w:tc>
          <w:tcPr>
            <w:tcW w:type="dxa" w:w="2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Title</w:t>
            </w:r>
          </w:p>
        </w:tc>
        <w:tc>
          <w:tcPr>
            <w:tcW w:type="dxa" w:w="7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Adverse Action and Customer Recourse Procedure — Credit Decisioning Assistant</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System governed</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Credit Decisioning Assistant (CDA) — retrieval-grounded foundation-model assistant supporting retail credit decisions</w:t>
            </w:r>
          </w:p>
        </w:tc>
      </w:tr>
      <w:tr>
        <w:tc>
          <w:tcPr>
            <w:tcW w:type="dxa" w:w="2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Document owner</w:t>
            </w:r>
          </w:p>
        </w:tc>
        <w:tc>
          <w:tcPr>
            <w:tcW w:type="dxa" w:w="7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Head of Compliance</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Approving authority</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Committee</w:t>
            </w:r>
          </w:p>
        </w:tc>
      </w:tr>
      <w:tr>
        <w:tc>
          <w:tcPr>
            <w:tcW w:type="dxa" w:w="2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Classification</w:t>
            </w:r>
          </w:p>
        </w:tc>
        <w:tc>
          <w:tcPr>
            <w:tcW w:type="dxa" w:w="7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Internal — AI governance framework</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Regulatory basis</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EU AI Act Art.86 (right to explanation of individual decision-making) and Art.14; GDPR Art.22(3) and Recital 71; Singapore PDPA Access and Correction Obligations; MAS FEAT Transparency and Fairness</w:t>
            </w:r>
          </w:p>
        </w:tc>
      </w:tr>
      <w:tr>
        <w:tc>
          <w:tcPr>
            <w:tcW w:type="dxa" w:w="2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Review cycle</w:t>
            </w:r>
          </w:p>
        </w:tc>
        <w:tc>
          <w:tcPr>
            <w:tcW w:type="dxa" w:w="7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Annual, or on any event trigger defined in Post_Deployment_Monitoring_and_Review_Policy §5</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Nature of this document</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Governance design artefact produced as part of a worked example. Figures, dates and named decisions are illustrative of how the control operates, not a record of a production deployment</w:t>
            </w:r>
          </w:p>
        </w:tc>
      </w:tr>
    </w:tbl>
    <w:p>
      <w:pPr>
        <w:spacing w:after="120" w:before="300"/>
      </w:pPr>
      <w:r>
        <w:rPr>
          <w:rFonts w:ascii="Calibri" w:cs="Calibri" w:eastAsia="Calibri" w:hAnsi="Calibri"/>
          <w:b/>
          <w:bCs/>
          <w:color w:val="1F3864"/>
          <w:sz w:val="24"/>
          <w:szCs w:val="24"/>
        </w:rPr>
        <w:t xml:space="preserve">Document control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9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Version</w:t>
            </w:r>
          </w:p>
        </w:tc>
        <w:tc>
          <w:tcPr>
            <w:tcW w:type="dxa" w:w="11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Date</w:t>
            </w:r>
          </w:p>
        </w:tc>
        <w:tc>
          <w:tcPr>
            <w:tcW w:type="dxa" w:w="18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Author</w:t>
            </w:r>
          </w:p>
        </w:tc>
        <w:tc>
          <w:tcPr>
            <w:tcW w:type="dxa" w:w="19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Reviewer</w:t>
            </w:r>
          </w:p>
        </w:tc>
        <w:tc>
          <w:tcPr>
            <w:tcW w:type="dxa" w:w="18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Approver</w:t>
            </w:r>
          </w:p>
        </w:tc>
        <w:tc>
          <w:tcPr>
            <w:tcW w:type="dxa" w:w="10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Status</w:t>
            </w:r>
          </w:p>
        </w:tc>
        <w:tc>
          <w:tcPr>
            <w:tcW w:type="dxa" w:w="30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Change summary</w:t>
            </w:r>
          </w:p>
        </w:tc>
      </w:tr>
      <w:tr>
        <w:tc>
          <w:tcPr>
            <w:tcW w:type="dxa" w:w="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v0.1</w:t>
            </w:r>
          </w:p>
        </w:tc>
        <w:tc>
          <w:tcPr>
            <w:tcW w:type="dxa" w:w="1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2026-03-10</w:t>
            </w:r>
          </w:p>
        </w:tc>
        <w:tc>
          <w:tcPr>
            <w:tcW w:type="dxa" w:w="18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Lead</w:t>
            </w:r>
          </w:p>
        </w:tc>
        <w:tc>
          <w:tcPr>
            <w:tcW w:type="dxa" w:w="1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w:t>
            </w:r>
          </w:p>
        </w:tc>
        <w:tc>
          <w:tcPr>
            <w:tcW w:type="dxa" w:w="18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w:t>
            </w:r>
          </w:p>
        </w:tc>
        <w:tc>
          <w:tcPr>
            <w:tcW w:type="dxa" w:w="1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Draft</w:t>
            </w:r>
          </w:p>
        </w:tc>
        <w:tc>
          <w:tcPr>
            <w:tcW w:type="dxa" w:w="3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Created to close a gap identified in framework review — no recourse route existed</w:t>
            </w:r>
          </w:p>
        </w:tc>
      </w:tr>
      <w:tr>
        <w:tc>
          <w:tcPr>
            <w:tcW w:type="dxa" w:w="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v1.0</w:t>
            </w:r>
          </w:p>
        </w:tc>
        <w:tc>
          <w:tcPr>
            <w:tcW w:type="dxa" w:w="1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2026-03-20</w:t>
            </w:r>
          </w:p>
        </w:tc>
        <w:tc>
          <w:tcPr>
            <w:tcW w:type="dxa" w:w="18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Compliance</w:t>
            </w:r>
          </w:p>
        </w:tc>
        <w:tc>
          <w:tcPr>
            <w:tcW w:type="dxa" w:w="1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Legal; Loan Operations</w:t>
            </w:r>
          </w:p>
        </w:tc>
        <w:tc>
          <w:tcPr>
            <w:tcW w:type="dxa" w:w="18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Committee</w:t>
            </w:r>
          </w:p>
        </w:tc>
        <w:tc>
          <w:tcPr>
            <w:tcW w:type="dxa" w:w="10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Approved</w:t>
            </w:r>
          </w:p>
        </w:tc>
        <w:tc>
          <w:tcPr>
            <w:tcW w:type="dxa" w:w="30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Approved as a precondition of go-live</w:t>
            </w:r>
          </w:p>
        </w:tc>
      </w:tr>
    </w:tbl>
    <w:p>
      <w:r>
        <w:br w:type="page"/>
      </w:r>
    </w:p>
    <w:p>
      <w:pPr>
        <w:pStyle w:val="Heading1"/>
        <w:spacing w:after="160" w:before="320"/>
      </w:pPr>
      <w:r>
        <w:rPr>
          <w:b/>
          <w:bCs/>
          <w:color w:val="1F3864"/>
          <w:sz w:val="30"/>
          <w:szCs w:val="30"/>
        </w:rPr>
        <w:t xml:space="preserve">1. Why this artefact exists</w:t>
      </w:r>
    </w:p>
    <w:p>
      <w:pPr>
        <w:spacing w:after="160" w:line="276"/>
      </w:pPr>
      <w:r>
        <w:rPr>
          <w:rFonts w:ascii="Calibri" w:cs="Calibri" w:eastAsia="Calibri" w:hAnsi="Calibri"/>
          <w:b w:val="false"/>
          <w:bCs w:val="false"/>
          <w:i w:val="false"/>
          <w:iCs w:val="false"/>
          <w:sz w:val="21"/>
          <w:szCs w:val="21"/>
        </w:rPr>
        <w:t xml:space="preserve">A review of the governance framework found that every control protected the bank's ability to evidence its decisions, and none protected the applicant's ability to challenge them. That is a substantive failure in a high-risk credit system, not a documentation oversight — a framework can be fully compliant with its logging, testing and oversight obligations while leaving the affected individual with no route to contest an outcome.</w:t>
      </w:r>
    </w:p>
    <w:p>
      <w:pPr>
        <w:spacing w:after="160" w:line="276"/>
      </w:pPr>
      <w:r>
        <w:rPr>
          <w:rFonts w:ascii="Calibri" w:cs="Calibri" w:eastAsia="Calibri" w:hAnsi="Calibri"/>
          <w:b w:val="false"/>
          <w:bCs w:val="false"/>
          <w:i w:val="false"/>
          <w:iCs w:val="false"/>
          <w:sz w:val="21"/>
          <w:szCs w:val="21"/>
        </w:rPr>
        <w:t xml:space="preserve">This procedure was created to close that gap and made a precondition of deployment approval. It is the artefact that answers the question a regulator asks first: what happens to the person who was declined.</w:t>
      </w:r>
    </w:p>
    <w:p>
      <w:pPr>
        <w:pBdr>
          <w:left w:val="single" w:color="1F3864" w:sz="18" w:space="8"/>
        </w:pBdr>
        <w:spacing w:after="200" w:before="120"/>
        <w:ind w:left="200"/>
      </w:pPr>
      <w:r>
        <w:rPr>
          <w:rFonts w:ascii="Calibri" w:cs="Calibri" w:eastAsia="Calibri" w:hAnsi="Calibri"/>
          <w:i/>
          <w:iCs/>
          <w:color w:val="1F3864"/>
          <w:sz w:val="22"/>
          <w:szCs w:val="22"/>
        </w:rPr>
        <w:t xml:space="preserve">A governance framework that can evidence every decision it made, to a regulator, while giving the affected individual no way to question any of them, has optimised for the wrong audience.</w:t>
      </w:r>
    </w:p>
    <w:p>
      <w:pPr>
        <w:pStyle w:val="Heading1"/>
        <w:spacing w:after="160" w:before="320"/>
      </w:pPr>
      <w:r>
        <w:rPr>
          <w:b/>
          <w:bCs/>
          <w:color w:val="1F3864"/>
          <w:sz w:val="30"/>
          <w:szCs w:val="30"/>
        </w:rPr>
        <w:t xml:space="preserve">2. Scope</w:t>
      </w:r>
    </w:p>
    <w:p>
      <w:pPr>
        <w:spacing w:after="160" w:line="276"/>
      </w:pPr>
      <w:r>
        <w:rPr>
          <w:rFonts w:ascii="Calibri" w:cs="Calibri" w:eastAsia="Calibri" w:hAnsi="Calibri"/>
          <w:b w:val="false"/>
          <w:bCs w:val="false"/>
          <w:i w:val="false"/>
          <w:iCs w:val="false"/>
          <w:sz w:val="21"/>
          <w:szCs w:val="21"/>
        </w:rPr>
        <w:t xml:space="preserve">Applies to every retail credit decision where the Credit Decisioning Assistant contributed to the rationale, whether the outcome was decline, refer, or approval on adverse terms. It applies regardless of whether the applicant knows AI was involved — which is why §3 requires that they are told.</w:t>
      </w:r>
    </w:p>
    <w:p>
      <w:pPr>
        <w:pStyle w:val="Heading1"/>
        <w:spacing w:after="160" w:before="320"/>
      </w:pPr>
      <w:r>
        <w:rPr>
          <w:b/>
          <w:bCs/>
          <w:color w:val="1F3864"/>
          <w:sz w:val="30"/>
          <w:szCs w:val="30"/>
        </w:rPr>
        <w:t xml:space="preserve">3. Disclosure — what the applicant is told at the point of decision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7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Element</w:t>
            </w:r>
          </w:p>
        </w:tc>
        <w:tc>
          <w:tcPr>
            <w:tcW w:type="dxa" w:w="53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Requirement</w:t>
            </w:r>
          </w:p>
        </w:tc>
        <w:tc>
          <w:tcPr>
            <w:tcW w:type="dxa" w:w="25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Basis</w:t>
            </w:r>
          </w:p>
        </w:tc>
      </w:tr>
      <w:tr>
        <w:tc>
          <w:tcPr>
            <w:tcW w:type="dxa" w:w="17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involvement</w:t>
            </w:r>
          </w:p>
        </w:tc>
        <w:tc>
          <w:tcPr>
            <w:tcW w:type="dxa" w:w="53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The adverse action notice states plainly that an AI system assisted in preparing the assessment and that a named officer made the decision</w:t>
            </w:r>
          </w:p>
        </w:tc>
        <w:tc>
          <w:tcPr>
            <w:tcW w:type="dxa" w:w="25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EU AI Act Art.50 transparency; MAS FEAT Transparency</w:t>
            </w:r>
          </w:p>
        </w:tc>
      </w:tr>
      <w:tr>
        <w:tc>
          <w:tcPr>
            <w:tcW w:type="dxa" w:w="17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The actual reason</w:t>
            </w:r>
          </w:p>
        </w:tc>
        <w:tc>
          <w:tcPr>
            <w:tcW w:type="dxa" w:w="53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The specific factor and threshold that drove the outcome, expressed in ordinary language. Not a generic category such as 'credit profile'</w:t>
            </w:r>
          </w:p>
        </w:tc>
        <w:tc>
          <w:tcPr>
            <w:tcW w:type="dxa" w:w="25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GDPR Recital 71; MAS FEAT; adverse action expectations</w:t>
            </w:r>
          </w:p>
        </w:tc>
      </w:tr>
      <w:tr>
        <w:tc>
          <w:tcPr>
            <w:tcW w:type="dxa" w:w="17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Right to human intervention</w:t>
            </w:r>
          </w:p>
        </w:tc>
        <w:tc>
          <w:tcPr>
            <w:tcW w:type="dxa" w:w="53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That the applicant may request review by a different officer, at no cost, within a stated window</w:t>
            </w:r>
          </w:p>
        </w:tc>
        <w:tc>
          <w:tcPr>
            <w:tcW w:type="dxa" w:w="25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GDPR Art.22(3)</w:t>
            </w:r>
          </w:p>
        </w:tc>
      </w:tr>
      <w:tr>
        <w:tc>
          <w:tcPr>
            <w:tcW w:type="dxa" w:w="17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Right to express a view</w:t>
            </w:r>
          </w:p>
        </w:tc>
        <w:tc>
          <w:tcPr>
            <w:tcW w:type="dxa" w:w="53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That the applicant may submit additional information or context not present in the original application</w:t>
            </w:r>
          </w:p>
        </w:tc>
        <w:tc>
          <w:tcPr>
            <w:tcW w:type="dxa" w:w="25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GDPR Art.22(3)</w:t>
            </w:r>
          </w:p>
        </w:tc>
      </w:tr>
      <w:tr>
        <w:tc>
          <w:tcPr>
            <w:tcW w:type="dxa" w:w="17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How to exercise it</w:t>
            </w:r>
          </w:p>
        </w:tc>
        <w:tc>
          <w:tcPr>
            <w:tcW w:type="dxa" w:w="53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 named channel, a reference number, and a stated response time</w:t>
            </w:r>
          </w:p>
        </w:tc>
        <w:tc>
          <w:tcPr>
            <w:tcW w:type="dxa" w:w="25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PDPA Access Obligation; operational necessity</w:t>
            </w:r>
          </w:p>
        </w:tc>
      </w:tr>
    </w:tbl>
    <w:p>
      <w:pPr>
        <w:pBdr>
          <w:left w:val="single" w:color="BF8F00" w:sz="18" w:space="8"/>
        </w:pBdr>
        <w:shd w:fill="FFF2CC" w:val="clear"/>
        <w:spacing w:after="200" w:before="80"/>
        <w:ind w:left="200"/>
      </w:pPr>
      <w:r>
        <w:rPr>
          <w:rFonts w:ascii="Calibri" w:cs="Calibri" w:eastAsia="Calibri" w:hAnsi="Calibri"/>
          <w:i/>
          <w:iCs/>
          <w:color w:val="7F6000"/>
          <w:sz w:val="20"/>
          <w:szCs w:val="20"/>
        </w:rPr>
        <w:t xml:space="preserve">⚠  The reason given must be the reason the decision rested on, not a defensible reason selected afterwards. This is the operational purpose of the citation and grounding controls: they exist so that the rationale shown to the officer, the rationale recorded in the audit trail, and the reason communicated to the customer are the same statement. Where those three diverge, the disclosure obligation cannot be met honestly.</w:t>
      </w:r>
    </w:p>
    <w:p>
      <w:pPr>
        <w:pStyle w:val="Heading1"/>
        <w:spacing w:after="160" w:before="320"/>
      </w:pPr>
      <w:r>
        <w:rPr>
          <w:b/>
          <w:bCs/>
          <w:color w:val="1F3864"/>
          <w:sz w:val="30"/>
          <w:szCs w:val="30"/>
        </w:rPr>
        <w:t xml:space="preserve">4. The recourse route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Stage</w:t>
            </w:r>
          </w:p>
        </w:tc>
        <w:tc>
          <w:tcPr>
            <w:tcW w:type="dxa" w:w="24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Who</w:t>
            </w:r>
          </w:p>
        </w:tc>
        <w:tc>
          <w:tcPr>
            <w:tcW w:type="dxa" w:w="15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Timeframe</w:t>
            </w:r>
          </w:p>
        </w:tc>
        <w:tc>
          <w:tcPr>
            <w:tcW w:type="dxa" w:w="37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What happens</w:t>
            </w:r>
          </w:p>
        </w:tc>
      </w:tr>
      <w:tr>
        <w:tc>
          <w:tcPr>
            <w:tcW w:type="dxa" w:w="1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1 — Request received</w:t>
            </w:r>
          </w:p>
        </w:tc>
        <w:tc>
          <w:tcPr>
            <w:tcW w:type="dxa" w:w="2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Customer contact team</w:t>
            </w:r>
          </w:p>
        </w:tc>
        <w:tc>
          <w:tcPr>
            <w:tcW w:type="dxa" w:w="15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Same day</w:t>
            </w:r>
          </w:p>
        </w:tc>
        <w:tc>
          <w:tcPr>
            <w:tcW w:type="dxa" w:w="37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Logged with reference. Original decision, drafted rationale, citations, and guardrail trace retrieved from the audit record</w:t>
            </w:r>
          </w:p>
        </w:tc>
      </w:tr>
      <w:tr>
        <w:tc>
          <w:tcPr>
            <w:tcW w:type="dxa" w:w="1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2 — Independent re-review</w:t>
            </w:r>
          </w:p>
        </w:tc>
        <w:tc>
          <w:tcPr>
            <w:tcW w:type="dxa" w:w="2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Senior loan officer who was not the original reviewer</w:t>
            </w:r>
          </w:p>
        </w:tc>
        <w:tc>
          <w:tcPr>
            <w:tcW w:type="dxa" w:w="15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5 working days</w:t>
            </w:r>
          </w:p>
        </w:tc>
        <w:tc>
          <w:tcPr>
            <w:tcW w:type="dxa" w:w="37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Full re-assessment. The AI-drafted rationale is available but the re-reviewer is not required to start from it and may set it aside entirely</w:t>
            </w:r>
          </w:p>
        </w:tc>
      </w:tr>
      <w:tr>
        <w:tc>
          <w:tcPr>
            <w:tcW w:type="dxa" w:w="1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3 — Additional information considered</w:t>
            </w:r>
          </w:p>
        </w:tc>
        <w:tc>
          <w:tcPr>
            <w:tcW w:type="dxa" w:w="2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Same re-reviewer</w:t>
            </w:r>
          </w:p>
        </w:tc>
        <w:tc>
          <w:tcPr>
            <w:tcW w:type="dxa" w:w="15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Within the 5 days</w:t>
            </w:r>
          </w:p>
        </w:tc>
        <w:tc>
          <w:tcPr>
            <w:tcW w:type="dxa" w:w="37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Any context the applicant submitted is assessed on its merits, including information the original application had no field for</w:t>
            </w:r>
          </w:p>
        </w:tc>
      </w:tr>
      <w:tr>
        <w:tc>
          <w:tcPr>
            <w:tcW w:type="dxa" w:w="1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4 — Outcome communicated</w:t>
            </w:r>
          </w:p>
        </w:tc>
        <w:tc>
          <w:tcPr>
            <w:tcW w:type="dxa" w:w="2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Customer contact team</w:t>
            </w:r>
          </w:p>
        </w:tc>
        <w:tc>
          <w:tcPr>
            <w:tcW w:type="dxa" w:w="15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Within 10 working days of request</w:t>
            </w:r>
          </w:p>
        </w:tc>
        <w:tc>
          <w:tcPr>
            <w:tcW w:type="dxa" w:w="37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Decision confirmed or changed, with the reasoning. If changed, §5 is triggered</w:t>
            </w:r>
          </w:p>
        </w:tc>
      </w:tr>
      <w:tr>
        <w:tc>
          <w:tcPr>
            <w:tcW w:type="dxa" w:w="1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5 — Further escalation</w:t>
            </w:r>
          </w:p>
        </w:tc>
        <w:tc>
          <w:tcPr>
            <w:tcW w:type="dxa" w:w="2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Complaints function, then external dispute resolution</w:t>
            </w:r>
          </w:p>
        </w:tc>
        <w:tc>
          <w:tcPr>
            <w:tcW w:type="dxa" w:w="15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Per existing complaints policy</w:t>
            </w:r>
          </w:p>
        </w:tc>
        <w:tc>
          <w:tcPr>
            <w:tcW w:type="dxa" w:w="37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The AI-specific route does not replace or delay the customer's existing complaint rights</w:t>
            </w:r>
          </w:p>
        </w:tc>
      </w:tr>
    </w:tbl>
    <w:p>
      <w:pPr>
        <w:spacing w:after="160" w:line="276"/>
      </w:pPr>
      <w:r>
        <w:rPr>
          <w:rFonts w:ascii="Calibri" w:cs="Calibri" w:eastAsia="Calibri" w:hAnsi="Calibri"/>
          <w:b w:val="false"/>
          <w:bCs w:val="false"/>
          <w:i/>
          <w:iCs/>
          <w:sz w:val="21"/>
          <w:szCs w:val="21"/>
        </w:rPr>
        <w:t xml:space="preserve">Step 2 is the control that carries the most weight. A re-review by the same officer, or a re-review that begins by reading the original AI-drafted rationale and looking for reasons to confirm it, is not independent. The procedure requires a different reviewer and permits them to set the draft aside, because anchoring is the predictable failure mode here.</w:t>
      </w:r>
    </w:p>
    <w:p>
      <w:pPr>
        <w:pStyle w:val="Heading1"/>
        <w:spacing w:after="160" w:before="320"/>
      </w:pPr>
      <w:r>
        <w:rPr>
          <w:b/>
          <w:bCs/>
          <w:color w:val="1F3864"/>
          <w:sz w:val="30"/>
          <w:szCs w:val="30"/>
        </w:rPr>
        <w:t xml:space="preserve">5. When a decision is overturned</w:t>
      </w:r>
    </w:p>
    <w:p>
      <w:pPr>
        <w:spacing w:after="160" w:line="276"/>
      </w:pPr>
      <w:r>
        <w:rPr>
          <w:rFonts w:ascii="Calibri" w:cs="Calibri" w:eastAsia="Calibri" w:hAnsi="Calibri"/>
          <w:b w:val="false"/>
          <w:bCs w:val="false"/>
          <w:i w:val="false"/>
          <w:iCs w:val="false"/>
          <w:sz w:val="21"/>
          <w:szCs w:val="21"/>
        </w:rPr>
        <w:t xml:space="preserve">An overturned decision is not only a customer outcome. It is a governance signal, and the procedure treats it as one.</w:t>
      </w:r>
    </w:p>
    <w:p>
      <w:pPr>
        <w:pStyle w:val="ListParagraph"/>
        <w:numPr>
          <w:ilvl w:val="0"/>
          <w:numId w:val="2"/>
        </w:numPr>
        <w:spacing w:after="90"/>
      </w:pPr>
      <w:r>
        <w:rPr>
          <w:rFonts w:ascii="Calibri" w:cs="Calibri" w:eastAsia="Calibri" w:hAnsi="Calibri"/>
          <w:sz w:val="21"/>
          <w:szCs w:val="21"/>
        </w:rPr>
        <w:t xml:space="preserve">The reversal is recorded against the original decision in the audit trail, with the reason for the difference.</w:t>
      </w:r>
    </w:p>
    <w:p>
      <w:pPr>
        <w:pStyle w:val="ListParagraph"/>
        <w:numPr>
          <w:ilvl w:val="0"/>
          <w:numId w:val="2"/>
        </w:numPr>
        <w:spacing w:after="90"/>
      </w:pPr>
      <w:r>
        <w:rPr>
          <w:rFonts w:ascii="Calibri" w:cs="Calibri" w:eastAsia="Calibri" w:hAnsi="Calibri"/>
          <w:sz w:val="21"/>
          <w:szCs w:val="21"/>
        </w:rPr>
        <w:t xml:space="preserve">Where the original rationale cited a passage that did not support the conclusion, or referenced an impermissible factor, the case is escalated to the AI Governance Lead the same day.</w:t>
      </w:r>
    </w:p>
    <w:p>
      <w:pPr>
        <w:pStyle w:val="ListParagraph"/>
        <w:numPr>
          <w:ilvl w:val="0"/>
          <w:numId w:val="2"/>
        </w:numPr>
        <w:spacing w:after="90"/>
      </w:pPr>
      <w:r>
        <w:rPr>
          <w:rFonts w:ascii="Calibri" w:cs="Calibri" w:eastAsia="Calibri" w:hAnsi="Calibri"/>
          <w:sz w:val="21"/>
          <w:szCs w:val="21"/>
        </w:rPr>
        <w:t xml:space="preserve">Reversal rate is reported monthly to the AI Governance Committee alongside the override rate. A rising reversal rate against a stable override rate indicates that officer review is passing decisions the recourse process then reverses — which is evidence that oversight is not working.</w:t>
      </w:r>
    </w:p>
    <w:p>
      <w:pPr>
        <w:pStyle w:val="ListParagraph"/>
        <w:numPr>
          <w:ilvl w:val="0"/>
          <w:numId w:val="2"/>
        </w:numPr>
        <w:spacing w:after="90"/>
      </w:pPr>
      <w:r>
        <w:rPr>
          <w:rFonts w:ascii="Calibri" w:cs="Calibri" w:eastAsia="Calibri" w:hAnsi="Calibri"/>
          <w:sz w:val="21"/>
          <w:szCs w:val="21"/>
        </w:rPr>
        <w:t xml:space="preserve">A cluster of reversals sharing a characteristic — an applicant segment, a product, a policy clause — is treated as a potential systemic finding and triggers an unscheduled fairness re-test.</w:t>
      </w:r>
    </w:p>
    <w:p>
      <w:pPr>
        <w:pStyle w:val="Heading1"/>
        <w:spacing w:after="160" w:before="320"/>
      </w:pPr>
      <w:r>
        <w:rPr>
          <w:b/>
          <w:bCs/>
          <w:color w:val="1F3864"/>
          <w:sz w:val="30"/>
          <w:szCs w:val="30"/>
        </w:rPr>
        <w:t xml:space="preserve">6. Record keeping</w:t>
      </w:r>
    </w:p>
    <w:p>
      <w:pPr>
        <w:pStyle w:val="ListParagraph"/>
        <w:numPr>
          <w:ilvl w:val="0"/>
          <w:numId w:val="3"/>
        </w:numPr>
        <w:spacing w:after="90"/>
      </w:pPr>
      <w:r>
        <w:rPr>
          <w:rFonts w:ascii="Calibri" w:cs="Calibri" w:eastAsia="Calibri" w:hAnsi="Calibri"/>
          <w:sz w:val="21"/>
          <w:szCs w:val="21"/>
        </w:rPr>
        <w:t xml:space="preserve">Every request, its outcome, and the reasoning retained for the same period as the underlying decision — operational life plus seven years.</w:t>
      </w:r>
    </w:p>
    <w:p>
      <w:pPr>
        <w:pStyle w:val="ListParagraph"/>
        <w:numPr>
          <w:ilvl w:val="0"/>
          <w:numId w:val="3"/>
        </w:numPr>
        <w:spacing w:after="90"/>
      </w:pPr>
      <w:r>
        <w:rPr>
          <w:rFonts w:ascii="Calibri" w:cs="Calibri" w:eastAsia="Calibri" w:hAnsi="Calibri"/>
          <w:sz w:val="21"/>
          <w:szCs w:val="21"/>
        </w:rPr>
        <w:t xml:space="preserve">The audit record supporting a contested decision must be retrievable within the 5-working-day re-review window. A record that exists but cannot be produced in time does not support the procedure.</w:t>
      </w:r>
    </w:p>
    <w:p>
      <w:pPr>
        <w:pStyle w:val="ListParagraph"/>
        <w:numPr>
          <w:ilvl w:val="0"/>
          <w:numId w:val="3"/>
        </w:numPr>
        <w:spacing w:after="90"/>
      </w:pPr>
      <w:r>
        <w:rPr>
          <w:rFonts w:ascii="Calibri" w:cs="Calibri" w:eastAsia="Calibri" w:hAnsi="Calibri"/>
          <w:sz w:val="21"/>
          <w:szCs w:val="21"/>
        </w:rPr>
        <w:t xml:space="preserve">Requests are reportable to the regulator on demand, in aggregate and individually.</w:t>
      </w:r>
    </w:p>
    <w:p>
      <w:pPr>
        <w:pStyle w:val="Heading1"/>
        <w:spacing w:after="160" w:before="320"/>
      </w:pPr>
      <w:r>
        <w:rPr>
          <w:b/>
          <w:bCs/>
          <w:color w:val="1F3864"/>
          <w:sz w:val="30"/>
          <w:szCs w:val="30"/>
        </w:rPr>
        <w:t xml:space="preserve">7. What this procedure does not do</w:t>
      </w:r>
    </w:p>
    <w:p>
      <w:pPr>
        <w:spacing w:after="160" w:line="276"/>
      </w:pPr>
      <w:r>
        <w:rPr>
          <w:rFonts w:ascii="Calibri" w:cs="Calibri" w:eastAsia="Calibri" w:hAnsi="Calibri"/>
          <w:b w:val="false"/>
          <w:bCs w:val="false"/>
          <w:i w:val="false"/>
          <w:iCs w:val="false"/>
          <w:sz w:val="21"/>
          <w:szCs w:val="21"/>
        </w:rPr>
        <w:t xml:space="preserve">Stated explicitly, because an over-claimed control is worse than an absent one:</w:t>
      </w:r>
    </w:p>
    <w:p>
      <w:pPr>
        <w:pStyle w:val="ListParagraph"/>
        <w:numPr>
          <w:ilvl w:val="0"/>
          <w:numId w:val="3"/>
        </w:numPr>
        <w:spacing w:after="90"/>
      </w:pPr>
      <w:r>
        <w:rPr>
          <w:rFonts w:ascii="Calibri" w:cs="Calibri" w:eastAsia="Calibri" w:hAnsi="Calibri"/>
          <w:sz w:val="21"/>
          <w:szCs w:val="21"/>
        </w:rPr>
        <w:t xml:space="preserve">It does not give the applicant access to the underlying model, its weights, or the full lending policy corpus. The right is to an explanation of the decision, not to the system.</w:t>
      </w:r>
    </w:p>
    <w:p>
      <w:pPr>
        <w:pStyle w:val="ListParagraph"/>
        <w:numPr>
          <w:ilvl w:val="0"/>
          <w:numId w:val="3"/>
        </w:numPr>
        <w:spacing w:after="90"/>
      </w:pPr>
      <w:r>
        <w:rPr>
          <w:rFonts w:ascii="Calibri" w:cs="Calibri" w:eastAsia="Calibri" w:hAnsi="Calibri"/>
          <w:sz w:val="21"/>
          <w:szCs w:val="21"/>
        </w:rPr>
        <w:t xml:space="preserve">It does not guarantee a different outcome. Independent re-review means genuinely independent, including the freedom to reach the same conclusion.</w:t>
      </w:r>
    </w:p>
    <w:p>
      <w:pPr>
        <w:pStyle w:val="ListParagraph"/>
        <w:numPr>
          <w:ilvl w:val="0"/>
          <w:numId w:val="3"/>
        </w:numPr>
        <w:spacing w:after="90"/>
      </w:pPr>
      <w:r>
        <w:rPr>
          <w:rFonts w:ascii="Calibri" w:cs="Calibri" w:eastAsia="Calibri" w:hAnsi="Calibri"/>
          <w:sz w:val="21"/>
          <w:szCs w:val="21"/>
        </w:rPr>
        <w:t xml:space="preserve">It does not replace the bank's existing complaints process or any statutory dispute route. It sits in front of them.</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2026-09-10T08:31:29.442Z</dcterms:created>
  <dcterms:modified xsi:type="dcterms:W3CDTF">2026-09-10T08:31:29.442Z</dcterms:modified>
</cp:coreProperties>
</file>

<file path=docProps/custom.xml><?xml version="1.0" encoding="utf-8"?>
<Properties xmlns="http://schemas.openxmlformats.org/officeDocument/2006/custom-properties" xmlns:vt="http://schemas.openxmlformats.org/officeDocument/2006/docPropsVTypes"/>
</file>