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Decommissioning and Records Retention Plan</w:t>
      </w:r>
    </w:p>
    <w:p>
      <w:pPr>
        <w:spacing w:after="300"/>
      </w:pPr>
      <w:r>
        <w:rPr>
          <w:rFonts w:ascii="Calibri" w:cs="Calibri" w:eastAsia="Calibri" w:hAnsi="Calibri"/>
          <w:i/>
          <w:iCs/>
          <w:color w:val="44546A"/>
          <w:sz w:val="23"/>
          <w:szCs w:val="23"/>
        </w:rPr>
        <w:t xml:space="preserve">Credit Decisioning Assistant (CDA) — Artefact A-41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A-41</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Decommissioning and Records Retention Plan — Credit Decisioning Assistant</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with records retention confirmation</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MAS TRM 11.2.3 (log retention); EU AI Act Art.12 and Art.19 (automatically generated logs, retention period); GDPR Art.5(1)(e) storage limitation; PDPA Retention Limitation Obligation; ISO/IEC 42001 Cl.8</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v0.1</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2026-03-12</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Draft</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Created to close a framework gap — no decommissioning artefact existed</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2026-03-25</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Records Management; Legal</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 at deployment. Exists from go-live, not written at withdrawal</w:t>
            </w:r>
          </w:p>
        </w:tc>
      </w:tr>
    </w:tbl>
    <w:p>
      <w:r>
        <w:br w:type="page"/>
      </w:r>
    </w:p>
    <w:p>
      <w:pPr>
        <w:pStyle w:val="Heading1"/>
        <w:spacing w:after="160" w:before="320"/>
      </w:pPr>
      <w:r>
        <w:rPr>
          <w:b/>
          <w:bCs/>
          <w:color w:val="1F3864"/>
          <w:sz w:val="30"/>
          <w:szCs w:val="30"/>
        </w:rPr>
        <w:t xml:space="preserve">1. Why this exists before the system is retired</w:t>
      </w:r>
    </w:p>
    <w:p>
      <w:pPr>
        <w:spacing w:after="160" w:line="276"/>
      </w:pPr>
      <w:r>
        <w:rPr>
          <w:rFonts w:ascii="Calibri" w:cs="Calibri" w:eastAsia="Calibri" w:hAnsi="Calibri"/>
          <w:b w:val="false"/>
          <w:bCs w:val="false"/>
          <w:i w:val="false"/>
          <w:iCs w:val="false"/>
          <w:sz w:val="21"/>
          <w:szCs w:val="21"/>
        </w:rPr>
        <w:t xml:space="preserve">Decommissioning plans are conventionally written when a system is being withdrawn, which is the worst possible moment to write one. By then the people who understood the evidence chain have moved on, the retention obligations are being reconstructed from memory, and the pressure is to shut down quickly rather than correctly.</w:t>
      </w:r>
    </w:p>
    <w:p>
      <w:pPr>
        <w:spacing w:after="160" w:line="276"/>
      </w:pPr>
      <w:r>
        <w:rPr>
          <w:rFonts w:ascii="Calibri" w:cs="Calibri" w:eastAsia="Calibri" w:hAnsi="Calibri"/>
          <w:b w:val="false"/>
          <w:bCs w:val="false"/>
          <w:i w:val="false"/>
          <w:iCs w:val="false"/>
          <w:sz w:val="21"/>
          <w:szCs w:val="21"/>
        </w:rPr>
        <w:t xml:space="preserve">This plan is approved at deployment and carries a row in Gate_Approval_and_Signoff_Log from go-live, marked not reached. It is a retention plan first and a shutdown procedure second, because the retention obligations outlive the system by seven years and are the part most easily destroyed by an efficient teardown.</w:t>
      </w:r>
    </w:p>
    <w:p>
      <w:pPr>
        <w:pStyle w:val="Heading1"/>
        <w:spacing w:after="160" w:before="320"/>
      </w:pPr>
      <w:r>
        <w:rPr>
          <w:b/>
          <w:bCs/>
          <w:color w:val="1F3864"/>
          <w:sz w:val="30"/>
          <w:szCs w:val="30"/>
        </w:rPr>
        <w:t xml:space="preserve">2. Triggers for decommissioning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Trigger</w:t>
            </w:r>
          </w:p>
        </w:tc>
        <w:tc>
          <w:tcPr>
            <w:tcW w:type="dxa" w:w="1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Type</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Decision authority</w:t>
            </w:r>
          </w:p>
        </w:tc>
        <w:tc>
          <w:tcPr>
            <w:tcW w:type="dxa" w:w="2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Notice</w:t>
            </w:r>
          </w:p>
        </w:tc>
      </w:tr>
      <w:tr>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Replacement by a successor system</w:t>
            </w:r>
          </w:p>
        </w:tc>
        <w:tc>
          <w:tcPr>
            <w:tcW w:type="dxa" w:w="1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Planned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Minimum 60 days</w:t>
            </w:r>
          </w:p>
        </w:tc>
      </w:tr>
      <w:tr>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Business withdrawal of the use case</w:t>
            </w:r>
          </w:p>
        </w:tc>
        <w:tc>
          <w:tcPr>
            <w:tcW w:type="dxa" w:w="1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Planned</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 accountable business owner</w:t>
            </w:r>
          </w:p>
        </w:tc>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Minimum 30 days</w:t>
            </w:r>
          </w:p>
        </w:tc>
      </w:tr>
      <w:tr>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change rendering the use case impermissible</w:t>
            </w:r>
          </w:p>
        </w:tc>
        <w:tc>
          <w:tcPr>
            <w:tcW w:type="dxa" w:w="1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Forced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on Compliance recommendation</w:t>
            </w:r>
          </w:p>
        </w:tc>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As required by the change</w:t>
            </w:r>
          </w:p>
        </w:tc>
      </w:tr>
      <w:tr>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Sustained control failure that cannot be remediated</w:t>
            </w:r>
          </w:p>
        </w:tc>
        <w:tc>
          <w:tcPr>
            <w:tcW w:type="dxa" w:w="1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Forced</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Immediate suspension under the kill-switch provision, then planned decommissioning</w:t>
            </w:r>
          </w:p>
        </w:tc>
      </w:tr>
      <w:tr>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Provider deprecation of the underlying model with no acceptable successor</w:t>
            </w:r>
          </w:p>
        </w:tc>
        <w:tc>
          <w:tcPr>
            <w:tcW w:type="dxa" w:w="1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Forced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 provider notice period — see A-40</w:t>
            </w:r>
          </w:p>
        </w:tc>
      </w:tr>
    </w:tbl>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Suspension and decommissioning are different actions with different authorities. Suspension is immediate, reversible, and may be invoked by a named operational role under the kill-switch provision. Decommissioning is permanent and requires committee decision. Conflating them means either that nobody can act quickly, or that a single person can permanently retire a system — both are governance failures.</w:t>
      </w:r>
    </w:p>
    <w:p>
      <w:pPr>
        <w:pStyle w:val="Heading1"/>
        <w:spacing w:after="160" w:before="320"/>
      </w:pPr>
      <w:r>
        <w:rPr>
          <w:b/>
          <w:bCs/>
          <w:color w:val="1F3864"/>
          <w:sz w:val="30"/>
          <w:szCs w:val="30"/>
        </w:rPr>
        <w:t xml:space="preserve">3. Retention schedule — the part that must survive teardown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Record</w:t>
            </w:r>
          </w:p>
        </w:tc>
        <w:tc>
          <w:tcPr>
            <w:tcW w:type="dxa" w:w="1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Retention period</w:t>
            </w:r>
          </w:p>
        </w:tc>
        <w:tc>
          <w:tcPr>
            <w:tcW w:type="dxa" w:w="3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Reason</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Disposition at end of period</w:t>
            </w:r>
          </w:p>
        </w:tc>
      </w:tr>
      <w:tr>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Model invocation records — prompt, response, citations, control trace, versions</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Operational life + 7 years</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MAS TRM 11.2.3; EU AI Act Art.19 requires deployers to keep automatically generated logs for an appropriate period, not less than six months, and longer where other law applies</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Secure destruction with certificate</w:t>
            </w:r>
          </w:p>
        </w:tc>
      </w:tr>
      <w:tr>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Decision records and adverse action notices</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 credit records retention schedule (longer of that or 7 years)</w:t>
            </w:r>
          </w:p>
        </w:tc>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regulation and dispute limitation periods</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 credit records schedule</w:t>
            </w:r>
          </w:p>
        </w:tc>
      </w:tr>
      <w:tr>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Recourse requests and outcomes</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Same as the underlying decision</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Must remain retrievable alongside the decision it contests</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With the decision record</w:t>
            </w:r>
          </w:p>
        </w:tc>
      </w:tr>
      <w:tr>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Fairness testing evidence</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Operational life + 7 years</w:t>
            </w:r>
          </w:p>
        </w:tc>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Evidences that the system was tested and how; the primary defence in a discrimination challenge</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Secure destruction</w:t>
            </w:r>
          </w:p>
        </w:tc>
      </w:tr>
      <w:tr>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Gate approvals and committee decisions</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Permanent</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record; establishes who decided what and on what basis</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Retained indefinitely</w:t>
            </w:r>
          </w:p>
        </w:tc>
      </w:tr>
      <w:tr>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Model card, risk register, control testing index</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Operational life + 7 years</w:t>
            </w:r>
          </w:p>
        </w:tc>
        <w:tc>
          <w:tcPr>
            <w:tcW w:type="dxa" w:w="3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Reconstructs the control environment as it stood at any point</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Secure destruction</w:t>
            </w:r>
          </w:p>
        </w:tc>
      </w:tr>
      <w:tr>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Personal data not required for the above</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Deleted at decommissioning</w:t>
            </w:r>
          </w:p>
        </w:tc>
        <w:tc>
          <w:tcPr>
            <w:tcW w:type="dxa" w:w="3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Storage limitation — retention must be justified, not default</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Deletion, verified</w:t>
            </w:r>
          </w:p>
        </w:tc>
      </w:tr>
    </w:tbl>
    <w:p>
      <w:pPr>
        <w:spacing w:after="160" w:line="276"/>
      </w:pPr>
      <w:r>
        <w:rPr>
          <w:rFonts w:ascii="Calibri" w:cs="Calibri" w:eastAsia="Calibri" w:hAnsi="Calibri"/>
          <w:b w:val="false"/>
          <w:bCs w:val="false"/>
          <w:i/>
          <w:iCs/>
          <w:sz w:val="21"/>
          <w:szCs w:val="21"/>
        </w:rPr>
        <w:t xml:space="preserve">The last row is the one most often missed. A retention obligation is not a licence to keep everything: personal data held beyond what the obligation requires breaches storage limitation regardless of how carefully it is secured.</w:t>
      </w:r>
    </w:p>
    <w:p>
      <w:pPr>
        <w:pStyle w:val="Heading1"/>
        <w:spacing w:after="160" w:before="320"/>
      </w:pPr>
      <w:r>
        <w:rPr>
          <w:b/>
          <w:bCs/>
          <w:color w:val="1F3864"/>
          <w:sz w:val="30"/>
          <w:szCs w:val="30"/>
        </w:rPr>
        <w:t xml:space="preserve">4. Decommissioning sequence</w:t>
      </w:r>
    </w:p>
    <w:p>
      <w:pPr>
        <w:pStyle w:val="ListParagraph"/>
        <w:numPr>
          <w:ilvl w:val="0"/>
          <w:numId w:val="2"/>
        </w:numPr>
        <w:spacing w:after="90"/>
      </w:pPr>
      <w:r>
        <w:rPr>
          <w:rFonts w:ascii="Calibri" w:cs="Calibri" w:eastAsia="Calibri" w:hAnsi="Calibri"/>
          <w:sz w:val="21"/>
          <w:szCs w:val="21"/>
        </w:rPr>
        <w:t xml:space="preserve">Committee decision recorded, with trigger, authority, and effective date.</w:t>
      </w:r>
    </w:p>
    <w:p>
      <w:pPr>
        <w:pStyle w:val="ListParagraph"/>
        <w:numPr>
          <w:ilvl w:val="0"/>
          <w:numId w:val="2"/>
        </w:numPr>
        <w:spacing w:after="90"/>
      </w:pPr>
      <w:r>
        <w:rPr>
          <w:rFonts w:ascii="Calibri" w:cs="Calibri" w:eastAsia="Calibri" w:hAnsi="Calibri"/>
          <w:sz w:val="21"/>
          <w:szCs w:val="21"/>
        </w:rPr>
        <w:t xml:space="preserve">Customer-facing notice where the withdrawal affects service. Applications in flight are completed under the existing process.</w:t>
      </w:r>
    </w:p>
    <w:p>
      <w:pPr>
        <w:pStyle w:val="ListParagraph"/>
        <w:numPr>
          <w:ilvl w:val="0"/>
          <w:numId w:val="2"/>
        </w:numPr>
        <w:spacing w:after="90"/>
      </w:pPr>
      <w:r>
        <w:rPr>
          <w:rFonts w:ascii="Calibri" w:cs="Calibri" w:eastAsia="Calibri" w:hAnsi="Calibri"/>
          <w:sz w:val="21"/>
          <w:szCs w:val="21"/>
        </w:rPr>
        <w:t xml:space="preserve">Access revoked at the permission layer, which takes effect immediately and is reversible if the decision is paused.</w:t>
      </w:r>
    </w:p>
    <w:p>
      <w:pPr>
        <w:pStyle w:val="ListParagraph"/>
        <w:numPr>
          <w:ilvl w:val="0"/>
          <w:numId w:val="2"/>
        </w:numPr>
        <w:spacing w:after="90"/>
      </w:pPr>
      <w:r>
        <w:rPr>
          <w:rFonts w:ascii="Calibri" w:cs="Calibri" w:eastAsia="Calibri" w:hAnsi="Calibri"/>
          <w:sz w:val="21"/>
          <w:szCs w:val="21"/>
        </w:rPr>
        <w:t xml:space="preserve">Evidence secured before any component is removed. The evidence store is confirmed intact, retrievable, and covered by its retention lock — this step gates every subsequent one.</w:t>
      </w:r>
    </w:p>
    <w:p>
      <w:pPr>
        <w:pStyle w:val="ListParagraph"/>
        <w:numPr>
          <w:ilvl w:val="0"/>
          <w:numId w:val="2"/>
        </w:numPr>
        <w:spacing w:after="90"/>
      </w:pPr>
      <w:r>
        <w:rPr>
          <w:rFonts w:ascii="Calibri" w:cs="Calibri" w:eastAsia="Calibri" w:hAnsi="Calibri"/>
          <w:sz w:val="21"/>
          <w:szCs w:val="21"/>
        </w:rPr>
        <w:t xml:space="preserve">Retrieval corpus and vector index removed. Personal data outside the retention schedule deleted and deletion verified.</w:t>
      </w:r>
    </w:p>
    <w:p>
      <w:pPr>
        <w:pStyle w:val="ListParagraph"/>
        <w:numPr>
          <w:ilvl w:val="0"/>
          <w:numId w:val="2"/>
        </w:numPr>
        <w:spacing w:after="90"/>
      </w:pPr>
      <w:r>
        <w:rPr>
          <w:rFonts w:ascii="Calibri" w:cs="Calibri" w:eastAsia="Calibri" w:hAnsi="Calibri"/>
          <w:sz w:val="21"/>
          <w:szCs w:val="21"/>
        </w:rPr>
        <w:t xml:space="preserve">Logging configuration stopped only after confirming existing records are preserved under §3.</w:t>
      </w:r>
    </w:p>
    <w:p>
      <w:pPr>
        <w:pStyle w:val="ListParagraph"/>
        <w:numPr>
          <w:ilvl w:val="0"/>
          <w:numId w:val="2"/>
        </w:numPr>
        <w:spacing w:after="90"/>
      </w:pPr>
      <w:r>
        <w:rPr>
          <w:rFonts w:ascii="Calibri" w:cs="Calibri" w:eastAsia="Calibri" w:hAnsi="Calibri"/>
          <w:sz w:val="21"/>
          <w:szCs w:val="21"/>
        </w:rPr>
        <w:t xml:space="preserve">Compute and application components removed. Cost verification confirms no residual billable resource remains.</w:t>
      </w:r>
    </w:p>
    <w:p>
      <w:pPr>
        <w:pStyle w:val="ListParagraph"/>
        <w:numPr>
          <w:ilvl w:val="0"/>
          <w:numId w:val="2"/>
        </w:numPr>
        <w:spacing w:after="90"/>
      </w:pPr>
      <w:r>
        <w:rPr>
          <w:rFonts w:ascii="Calibri" w:cs="Calibri" w:eastAsia="Calibri" w:hAnsi="Calibri"/>
          <w:sz w:val="21"/>
          <w:szCs w:val="21"/>
        </w:rPr>
        <w:t xml:space="preserve">System inventory updated to retired, with the decommissioning date and the location of the retained evidence.</w:t>
      </w:r>
    </w:p>
    <w:p>
      <w:pPr>
        <w:pStyle w:val="ListParagraph"/>
        <w:numPr>
          <w:ilvl w:val="0"/>
          <w:numId w:val="2"/>
        </w:numPr>
        <w:spacing w:after="90"/>
      </w:pPr>
      <w:r>
        <w:rPr>
          <w:rFonts w:ascii="Calibri" w:cs="Calibri" w:eastAsia="Calibri" w:hAnsi="Calibri"/>
          <w:sz w:val="21"/>
          <w:szCs w:val="21"/>
        </w:rPr>
        <w:t xml:space="preserve">Lessons learned captured under §5 and presented to the committee within 30 days.</w:t>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Step 4 is placed before every removal step deliberately. The commonest decommissioning failure is not leaving something running — it is destroying the evidence chain while efficiently tearing down the infrastructure that happened to hold it.</w:t>
      </w:r>
    </w:p>
    <w:p>
      <w:pPr>
        <w:pStyle w:val="Heading1"/>
        <w:spacing w:after="160" w:before="320"/>
      </w:pPr>
      <w:r>
        <w:rPr>
          <w:b/>
          <w:bCs/>
          <w:color w:val="1F3864"/>
          <w:sz w:val="30"/>
          <w:szCs w:val="30"/>
        </w:rPr>
        <w:t xml:space="preserve">5. Lessons learned</w:t>
      </w:r>
    </w:p>
    <w:p>
      <w:pPr>
        <w:spacing w:after="160" w:line="276"/>
      </w:pPr>
      <w:r>
        <w:rPr>
          <w:rFonts w:ascii="Calibri" w:cs="Calibri" w:eastAsia="Calibri" w:hAnsi="Calibri"/>
          <w:b w:val="false"/>
          <w:bCs w:val="false"/>
          <w:i w:val="false"/>
          <w:iCs w:val="false"/>
          <w:sz w:val="21"/>
          <w:szCs w:val="21"/>
        </w:rPr>
        <w:t xml:space="preserve">A decommissioning that produces no organisational learning has wasted the most informative moment in a system's life. The review addresses four questions, and is presented to the committee whether the withdrawal was planned or forced:</w:t>
      </w:r>
    </w:p>
    <w:p>
      <w:pPr>
        <w:pStyle w:val="ListParagraph"/>
        <w:numPr>
          <w:ilvl w:val="0"/>
          <w:numId w:val="3"/>
        </w:numPr>
        <w:spacing w:after="90"/>
      </w:pPr>
      <w:r>
        <w:rPr>
          <w:rFonts w:ascii="Calibri" w:cs="Calibri" w:eastAsia="Calibri" w:hAnsi="Calibri"/>
          <w:sz w:val="21"/>
          <w:szCs w:val="21"/>
        </w:rPr>
        <w:t xml:space="preserve">Did the controls detect what they were designed to detect, and what did they miss?</w:t>
      </w:r>
    </w:p>
    <w:p>
      <w:pPr>
        <w:pStyle w:val="ListParagraph"/>
        <w:numPr>
          <w:ilvl w:val="0"/>
          <w:numId w:val="3"/>
        </w:numPr>
        <w:spacing w:after="90"/>
      </w:pPr>
      <w:r>
        <w:rPr>
          <w:rFonts w:ascii="Calibri" w:cs="Calibri" w:eastAsia="Calibri" w:hAnsi="Calibri"/>
          <w:sz w:val="21"/>
          <w:szCs w:val="21"/>
        </w:rPr>
        <w:t xml:space="preserve">Which gate decisions would be made differently with what is now known?</w:t>
      </w:r>
    </w:p>
    <w:p>
      <w:pPr>
        <w:pStyle w:val="ListParagraph"/>
        <w:numPr>
          <w:ilvl w:val="0"/>
          <w:numId w:val="3"/>
        </w:numPr>
        <w:spacing w:after="90"/>
      </w:pPr>
      <w:r>
        <w:rPr>
          <w:rFonts w:ascii="Calibri" w:cs="Calibri" w:eastAsia="Calibri" w:hAnsi="Calibri"/>
          <w:sz w:val="21"/>
          <w:szCs w:val="21"/>
        </w:rPr>
        <w:t xml:space="preserve">What did the system cost to govern, against what it was expected to cost — including the review, testing and oversight time that rarely appears in a business case?</w:t>
      </w:r>
    </w:p>
    <w:p>
      <w:pPr>
        <w:pStyle w:val="ListParagraph"/>
        <w:numPr>
          <w:ilvl w:val="0"/>
          <w:numId w:val="3"/>
        </w:numPr>
        <w:spacing w:after="90"/>
      </w:pPr>
      <w:r>
        <w:rPr>
          <w:rFonts w:ascii="Calibri" w:cs="Calibri" w:eastAsia="Calibri" w:hAnsi="Calibri"/>
          <w:sz w:val="21"/>
          <w:szCs w:val="21"/>
        </w:rPr>
        <w:t xml:space="preserve">What in this framework should change before the successor system is proposed?</w:t>
      </w:r>
    </w:p>
    <w:p>
      <w:pPr>
        <w:pStyle w:val="Heading1"/>
        <w:spacing w:after="160" w:before="320"/>
      </w:pPr>
      <w:r>
        <w:rPr>
          <w:b/>
          <w:bCs/>
          <w:color w:val="1F3864"/>
          <w:sz w:val="30"/>
          <w:szCs w:val="30"/>
        </w:rPr>
        <w:t xml:space="preserve">6. Post-decommissioning obligations</w:t>
      </w:r>
    </w:p>
    <w:p>
      <w:pPr>
        <w:spacing w:after="160" w:line="276"/>
      </w:pPr>
      <w:r>
        <w:rPr>
          <w:rFonts w:ascii="Calibri" w:cs="Calibri" w:eastAsia="Calibri" w:hAnsi="Calibri"/>
          <w:b w:val="false"/>
          <w:bCs w:val="false"/>
          <w:i w:val="false"/>
          <w:iCs w:val="false"/>
          <w:sz w:val="21"/>
          <w:szCs w:val="21"/>
        </w:rPr>
        <w:t xml:space="preserve">The system is retired; the obligations are not. For the duration of the retention period:</w:t>
      </w:r>
    </w:p>
    <w:p>
      <w:pPr>
        <w:pStyle w:val="ListParagraph"/>
        <w:numPr>
          <w:ilvl w:val="0"/>
          <w:numId w:val="3"/>
        </w:numPr>
        <w:spacing w:after="90"/>
      </w:pPr>
      <w:r>
        <w:rPr>
          <w:rFonts w:ascii="Calibri" w:cs="Calibri" w:eastAsia="Calibri" w:hAnsi="Calibri"/>
          <w:sz w:val="21"/>
          <w:szCs w:val="21"/>
        </w:rPr>
        <w:t xml:space="preserve">A named owner remains accountable for the retained evidence. Ownership transfers with role changes and is confirmed annually.</w:t>
      </w:r>
    </w:p>
    <w:p>
      <w:pPr>
        <w:pStyle w:val="ListParagraph"/>
        <w:numPr>
          <w:ilvl w:val="0"/>
          <w:numId w:val="3"/>
        </w:numPr>
        <w:spacing w:after="90"/>
      </w:pPr>
      <w:r>
        <w:rPr>
          <w:rFonts w:ascii="Calibri" w:cs="Calibri" w:eastAsia="Calibri" w:hAnsi="Calibri"/>
          <w:sz w:val="21"/>
          <w:szCs w:val="21"/>
        </w:rPr>
        <w:t xml:space="preserve">Retrieval capability is tested annually. An archive nobody has read in five years is an assumption, not a record.</w:t>
      </w:r>
    </w:p>
    <w:p>
      <w:pPr>
        <w:pStyle w:val="ListParagraph"/>
        <w:numPr>
          <w:ilvl w:val="0"/>
          <w:numId w:val="3"/>
        </w:numPr>
        <w:spacing w:after="90"/>
      </w:pPr>
      <w:r>
        <w:rPr>
          <w:rFonts w:ascii="Calibri" w:cs="Calibri" w:eastAsia="Calibri" w:hAnsi="Calibri"/>
          <w:sz w:val="21"/>
          <w:szCs w:val="21"/>
        </w:rPr>
        <w:t xml:space="preserve">Regulatory or legal hold suspends the disposition schedule entirely until released.</w:t>
      </w:r>
    </w:p>
    <w:p>
      <w:pPr>
        <w:pStyle w:val="ListParagraph"/>
        <w:numPr>
          <w:ilvl w:val="0"/>
          <w:numId w:val="3"/>
        </w:numPr>
        <w:spacing w:after="90"/>
      </w:pPr>
      <w:r>
        <w:rPr>
          <w:rFonts w:ascii="Calibri" w:cs="Calibri" w:eastAsia="Calibri" w:hAnsi="Calibri"/>
          <w:sz w:val="21"/>
          <w:szCs w:val="21"/>
        </w:rPr>
        <w:t xml:space="preserve">The retained model card and risk register remain the authoritative description of what the system did — they are the artefacts a future investigator will read, and they must stand alone without the people who wrote them.</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2026-09-10T08:31:29.562Z</dcterms:created>
  <dcterms:modified xsi:type="dcterms:W3CDTF">2026-09-10T08:31:29.562Z</dcterms:modified>
</cp:coreProperties>
</file>

<file path=docProps/custom.xml><?xml version="1.0" encoding="utf-8"?>
<Properties xmlns="http://schemas.openxmlformats.org/officeDocument/2006/custom-properties" xmlns:vt="http://schemas.openxmlformats.org/officeDocument/2006/docPropsVTypes"/>
</file>