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AI Ethics Committee Charter</w:t>
      </w:r>
    </w:p>
    <w:p>
      <w:pPr>
        <w:spacing w:after="300"/>
      </w:pPr>
      <w:r>
        <w:rPr>
          <w:rFonts w:ascii="Calibri" w:cs="Calibri" w:eastAsia="Calibri" w:hAnsi="Calibri"/>
          <w:i/>
          <w:iCs/>
          <w:color w:val="44546A"/>
          <w:sz w:val="23"/>
          <w:szCs w:val="23"/>
        </w:rPr>
        <w:t xml:space="preserve">Credit Decisioning Assistant programme — Artefact A-42, v1.0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Field</w:t>
            </w:r>
          </w:p>
        </w:tc>
        <w:tc>
          <w:tcPr>
            <w:tcW w:type="dxa" w:w="7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Detail</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Artefact ID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A-42</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Title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Ethics Committee Charter</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System governed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Credit Decisioning Assistant (CDA) — retrieval-grounded foundation-model assistant supporting retail credit decisions</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Document owner</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Committee Chair (independent)</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Approving authority</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Board, on AI Governance Committee recommendation</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Classification</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Internal — AI governance framework</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Regulatory basis</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EU AI Act Art.27 fundamental rights impact assessment; MAS FEAT Ethics and Fairness; Singapore Model AI Governance Framework — internal governance and stakeholder interaction; ISO/IEC 42001 Cl.5 leadership; NIST AI RMF GOVERN 3</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Review cycle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Annual, or on any event trigger defined in Post_Deployment_Monitoring_and_Review_Policy §5</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Nature of this document</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Governance design artefact produced as part of a worked example. Figures, dates and named decisions are illustrative of how the control operates, not a record of a production deployment</w:t>
            </w:r>
          </w:p>
        </w:tc>
      </w:tr>
    </w:tbl>
    <w:p>
      <w:pPr>
        <w:spacing w:after="120" w:before="300"/>
      </w:pPr>
      <w:r>
        <w:rPr>
          <w:rFonts w:ascii="Calibri" w:cs="Calibri" w:eastAsia="Calibri" w:hAnsi="Calibri"/>
          <w:b/>
          <w:bCs/>
          <w:color w:val="1F3864"/>
          <w:sz w:val="24"/>
          <w:szCs w:val="24"/>
        </w:rP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Version</w:t>
            </w:r>
          </w:p>
        </w:tc>
        <w:tc>
          <w:tcPr>
            <w:tcW w:type="dxa" w:w="1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Date</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Author</w:t>
            </w:r>
          </w:p>
        </w:tc>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Reviewer</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Approver</w:t>
            </w:r>
          </w:p>
        </w:tc>
        <w:tc>
          <w:tcPr>
            <w:tcW w:type="dxa" w:w="1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Status</w:t>
            </w:r>
          </w:p>
        </w:tc>
        <w:tc>
          <w:tcPr>
            <w:tcW w:type="dxa" w:w="3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Change summary</w:t>
            </w:r>
          </w:p>
        </w:tc>
      </w:tr>
      <w:tr>
        <w:tc>
          <w:tcPr>
            <w:tcW w:type="dxa" w:w="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v1.0</w:t>
            </w:r>
          </w:p>
        </w:tc>
        <w:tc>
          <w:tcPr>
            <w:tcW w:type="dxa" w:w="1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2026-01-12</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Company Secretary; Legal</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Board</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Approved</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Charter established at Phase 1 alongside the AI Governance Committee</w:t>
            </w:r>
          </w:p>
        </w:tc>
      </w:tr>
    </w:tbl>
    <w:p>
      <w:r>
        <w:br w:type="page"/>
      </w:r>
    </w:p>
    <w:p>
      <w:pPr>
        <w:pStyle w:val="Heading1"/>
        <w:spacing w:after="160" w:before="320"/>
      </w:pPr>
      <w:r>
        <w:rPr>
          <w:b/>
          <w:bCs/>
          <w:color w:val="1F3864"/>
          <w:sz w:val="30"/>
          <w:szCs w:val="30"/>
        </w:rPr>
        <w:t xml:space="preserve">1. Why a second committee exists</w:t>
      </w:r>
    </w:p>
    <w:p>
      <w:pPr>
        <w:spacing w:after="160" w:line="276"/>
      </w:pPr>
      <w:r>
        <w:rPr>
          <w:rFonts w:ascii="Calibri" w:cs="Calibri" w:eastAsia="Calibri" w:hAnsi="Calibri"/>
          <w:b w:val="false"/>
          <w:bCs w:val="false"/>
          <w:i w:val="false"/>
          <w:iCs w:val="false"/>
          <w:sz w:val="21"/>
          <w:szCs w:val="21"/>
        </w:rPr>
        <w:t xml:space="preserve">The AI Governance Committee holds decision authority: it approves or blocks at every stage gate, sets thresholds, and can suspend or withdraw any system. That body asks whether the risk has been controlled.</w:t>
      </w:r>
    </w:p>
    <w:p>
      <w:pPr>
        <w:spacing w:after="160" w:line="276"/>
      </w:pPr>
      <w:r>
        <w:rPr>
          <w:rFonts w:ascii="Calibri" w:cs="Calibri" w:eastAsia="Calibri" w:hAnsi="Calibri"/>
          <w:b w:val="false"/>
          <w:bCs w:val="false"/>
          <w:i w:val="false"/>
          <w:iCs w:val="false"/>
          <w:sz w:val="21"/>
          <w:szCs w:val="21"/>
        </w:rPr>
        <w:t xml:space="preserve">This committee asks a different question, and the distinction is the entire justification for its existence.</w:t>
      </w:r>
    </w:p>
    <w:p>
      <w:pPr>
        <w:pBdr>
          <w:left w:val="single" w:color="1F3864" w:sz="18" w:space="8"/>
        </w:pBdr>
        <w:spacing w:after="200" w:before="120"/>
        <w:ind w:left="200"/>
      </w:pPr>
      <w:r>
        <w:rPr>
          <w:rFonts w:ascii="Calibri" w:cs="Calibri" w:eastAsia="Calibri" w:hAnsi="Calibri"/>
          <w:i/>
          <w:iCs/>
          <w:color w:val="1F3864"/>
          <w:sz w:val="22"/>
          <w:szCs w:val="22"/>
        </w:rPr>
        <w:t xml:space="preserve">One body asks whether we have controlled the risk. The other asks whether the risk is one we should be taking. Collapsing them into a single committee means the second question quietly stops being asked.</w:t>
      </w:r>
    </w:p>
    <w:p>
      <w:pPr>
        <w:spacing w:after="160" w:line="276"/>
      </w:pPr>
      <w:r>
        <w:rPr>
          <w:rFonts w:ascii="Calibri" w:cs="Calibri" w:eastAsia="Calibri" w:hAnsi="Calibri"/>
          <w:b w:val="false"/>
          <w:bCs w:val="false"/>
          <w:i w:val="false"/>
          <w:iCs w:val="false"/>
          <w:sz w:val="21"/>
          <w:szCs w:val="21"/>
        </w:rPr>
        <w:t xml:space="preserve">The objection this charter was written against is reasonable and was raised at establishment: that a second committee duplicates the first and adds process without adding control. It survived that objection on three constraints, which are binding rather than descriptive — no veto, a sunset review, and a scope that explicitly excludes anything the control framework already tests.</w:t>
      </w:r>
    </w:p>
    <w:p>
      <w:pPr>
        <w:pStyle w:val="Heading1"/>
        <w:spacing w:after="160" w:before="320"/>
      </w:pPr>
      <w:r>
        <w:rPr>
          <w:b/>
          <w:bCs/>
          <w:color w:val="1F3864"/>
          <w:sz w:val="30"/>
          <w:szCs w:val="30"/>
        </w:rPr>
        <w:t xml:space="preserve">2. Authority and its limits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7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The committee may</w:t>
            </w:r>
          </w:p>
        </w:tc>
        <w:tc>
          <w:tcPr>
            <w:tcW w:type="dxa" w:w="4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The committee may not</w:t>
            </w:r>
          </w:p>
        </w:tc>
      </w:tr>
      <w:tr>
        <w:tc>
          <w:tcPr>
            <w:tcW w:type="dxa" w:w="4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Review any AI use case, at any lifecycle phase, on its own initiative</w:t>
            </w:r>
          </w:p>
        </w:tc>
        <w:tc>
          <w:tcPr>
            <w:tcW w:type="dxa" w:w="4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Approve or block a stage gate. Decision authority rests solely with the AIGC</w:t>
            </w:r>
          </w:p>
        </w:tc>
      </w:tr>
      <w:tr>
        <w:tc>
          <w:tcPr>
            <w:tcW w:type="dxa" w:w="4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Record a dissenting opinion that travels with the gate decision and is retained in the approval log</w:t>
            </w:r>
          </w:p>
        </w:tc>
        <w:tc>
          <w:tcPr>
            <w:tcW w:type="dxa" w:w="4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Overturn, delay or condition an AIGC decision</w:t>
            </w:r>
          </w:p>
        </w:tc>
      </w:tr>
      <w:tr>
        <w:tc>
          <w:tcPr>
            <w:tcW w:type="dxa" w:w="4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Require that a specific question be put to the AIGC before a gate closes</w:t>
            </w:r>
          </w:p>
        </w:tc>
        <w:tc>
          <w:tcPr>
            <w:tcW w:type="dxa" w:w="4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Direct the delivery team, the architecture, or any control configuration</w:t>
            </w:r>
          </w:p>
        </w:tc>
      </w:tr>
      <w:tr>
        <w:tc>
          <w:tcPr>
            <w:tcW w:type="dxa" w:w="4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Escalate directly to the Board where it judges an ethical concern unresolved</w:t>
            </w:r>
          </w:p>
        </w:tc>
        <w:tc>
          <w:tcPr>
            <w:tcW w:type="dxa" w:w="4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Substitute its judgement for the accountable business owner's risk acceptance</w:t>
            </w:r>
          </w:p>
        </w:tc>
      </w:tr>
      <w:tr>
        <w:tc>
          <w:tcPr>
            <w:tcW w:type="dxa" w:w="4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Commission external input on a use case within its remit</w:t>
            </w:r>
          </w:p>
        </w:tc>
        <w:tc>
          <w:tcPr>
            <w:tcW w:type="dxa" w:w="4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Commit expenditure or resource</w:t>
            </w:r>
          </w:p>
        </w:tc>
      </w:tr>
    </w:tbl>
    <w:p>
      <w:pPr>
        <w:pBdr>
          <w:left w:val="single" w:color="BF8F00" w:sz="18" w:space="8"/>
        </w:pBdr>
        <w:shd w:fill="FFF2CC" w:val="clear"/>
        <w:spacing w:after="200" w:before="80"/>
        <w:ind w:left="200"/>
      </w:pPr>
      <w:r>
        <w:rPr>
          <w:rFonts w:ascii="Calibri" w:cs="Calibri" w:eastAsia="Calibri" w:hAnsi="Calibri"/>
          <w:i/>
          <w:iCs/>
          <w:color w:val="7F6000"/>
          <w:sz w:val="20"/>
          <w:szCs w:val="20"/>
        </w:rPr>
        <w:t xml:space="preserve">⚠  The dissent mechanism is the committee's real power and it is deliberately narrow. A recorded dissent does not stop a deployment. It ensures that if the concern later proves well-founded, the record shows the question was asked, by whom, and what was decided anyway. That is a materially stronger governance position than a unanimous minute suggesting nobody examined it.</w:t>
      </w:r>
    </w:p>
    <w:p>
      <w:pPr>
        <w:pStyle w:val="Heading1"/>
        <w:spacing w:after="160" w:before="320"/>
      </w:pPr>
      <w:r>
        <w:rPr>
          <w:b/>
          <w:bCs/>
          <w:color w:val="1F3864"/>
          <w:sz w:val="30"/>
          <w:szCs w:val="30"/>
        </w:rPr>
        <w:t xml:space="preserve">3. Composition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Role</w:t>
            </w:r>
          </w:p>
        </w:tc>
        <w:tc>
          <w:tcPr>
            <w:tcW w:type="dxa" w:w="5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Basis</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Voting</w:t>
            </w:r>
          </w:p>
        </w:tc>
      </w:tr>
      <w:tr>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Chair</w:t>
            </w:r>
          </w:p>
        </w:tc>
        <w:tc>
          <w:tcPr>
            <w:tcW w:type="dxa" w:w="5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Independent of the AI Governance function, the delivery organisation and the sponsoring business line</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Yes, with casting vote</w:t>
            </w:r>
          </w:p>
        </w:tc>
      </w:tr>
      <w:tr>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Legal</w:t>
            </w:r>
          </w:p>
        </w:tc>
        <w:tc>
          <w:tcPr>
            <w:tcW w:type="dxa" w:w="5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Standing member</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Yes</w:t>
            </w:r>
          </w:p>
        </w:tc>
      </w:tr>
      <w:tr>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Conduct</w:t>
            </w:r>
          </w:p>
        </w:tc>
        <w:tc>
          <w:tcPr>
            <w:tcW w:type="dxa" w:w="5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Standing member</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Yes</w:t>
            </w:r>
          </w:p>
        </w:tc>
      </w:tr>
      <w:tr>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Customer Advocacy</w:t>
            </w:r>
          </w:p>
        </w:tc>
        <w:tc>
          <w:tcPr>
            <w:tcW w:type="dxa" w:w="5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Standing member. Represents the interest of the affected applicant, who has no other seat in the governance structure</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Yes</w:t>
            </w:r>
          </w:p>
        </w:tc>
      </w:tr>
      <w:tr>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External member (x2)</w:t>
            </w:r>
          </w:p>
        </w:tc>
        <w:tc>
          <w:tcPr>
            <w:tcW w:type="dxa" w:w="5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Appointed for a fixed term. At least one with lived or professional experience of consumer credit exclusion</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Yes</w:t>
            </w:r>
          </w:p>
        </w:tc>
      </w:tr>
      <w:tr>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5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Attends by invitation to present context</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w:t>
            </w:r>
          </w:p>
        </w:tc>
      </w:tr>
      <w:tr>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AIEC Secretary</w:t>
            </w:r>
          </w:p>
        </w:tc>
        <w:tc>
          <w:tcPr>
            <w:tcW w:type="dxa" w:w="5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Company Secretariat</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w:t>
            </w:r>
          </w:p>
        </w:tc>
      </w:tr>
    </w:tbl>
    <w:p>
      <w:pPr>
        <w:spacing w:after="160" w:line="276"/>
      </w:pPr>
      <w:r>
        <w:rPr>
          <w:rFonts w:ascii="Calibri" w:cs="Calibri" w:eastAsia="Calibri" w:hAnsi="Calibri"/>
          <w:b/>
          <w:bCs/>
          <w:i w:val="false"/>
          <w:iCs w:val="false"/>
          <w:sz w:val="21"/>
          <w:szCs w:val="21"/>
        </w:rPr>
        <w:t xml:space="preserve">Quorum is the Chair plus three voting members, of whom at least one must be an external member. A meeting without external representation may discuss but may not record a dissent, because the committee's distinct value is the perspective the organisation does not otherwise hold.</w:t>
      </w:r>
    </w:p>
    <w:p>
      <w:pPr>
        <w:pStyle w:val="Heading1"/>
        <w:spacing w:after="160" w:before="320"/>
      </w:pPr>
      <w:r>
        <w:rPr>
          <w:b/>
          <w:bCs/>
          <w:color w:val="1F3864"/>
          <w:sz w:val="30"/>
          <w:szCs w:val="30"/>
        </w:rPr>
        <w:t xml:space="preserve">4. Scope — and what is explicitly out of scope</w:t>
      </w:r>
    </w:p>
    <w:p>
      <w:pPr>
        <w:spacing w:after="160" w:line="276"/>
      </w:pPr>
      <w:r>
        <w:rPr>
          <w:rFonts w:ascii="Calibri" w:cs="Calibri" w:eastAsia="Calibri" w:hAnsi="Calibri"/>
          <w:b w:val="false"/>
          <w:bCs w:val="false"/>
          <w:i w:val="false"/>
          <w:iCs w:val="false"/>
          <w:sz w:val="21"/>
          <w:szCs w:val="21"/>
        </w:rPr>
        <w:t xml:space="preserve">Scope discipline is what keeps this committee from becoming a second control review. The test applied is whether the question is one the control framework can answer.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7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In scope</w:t>
            </w:r>
          </w:p>
        </w:tc>
        <w:tc>
          <w:tcPr>
            <w:tcW w:type="dxa" w:w="4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Out of scope — belongs to the AIGC</w:t>
            </w:r>
          </w:p>
        </w:tc>
      </w:tr>
      <w:tr>
        <w:tc>
          <w:tcPr>
            <w:tcW w:type="dxa" w:w="4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a use case is something the organisation should do, distinct from whether it may</w:t>
            </w:r>
          </w:p>
        </w:tc>
        <w:tc>
          <w:tcPr>
            <w:tcW w:type="dxa" w:w="4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a control is correctly configured or effectively tested</w:t>
            </w:r>
          </w:p>
        </w:tc>
      </w:tr>
      <w:tr>
        <w:tc>
          <w:tcPr>
            <w:tcW w:type="dxa" w:w="4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the benefit and the risk fall on the same parties, and what follows if they do not</w:t>
            </w:r>
          </w:p>
        </w:tc>
        <w:tc>
          <w:tcPr>
            <w:tcW w:type="dxa" w:w="4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a threshold has been breached</w:t>
            </w:r>
          </w:p>
        </w:tc>
      </w:tr>
      <w:tr>
        <w:tc>
          <w:tcPr>
            <w:tcW w:type="dxa" w:w="4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affected parties can detect or contest a harm they bear</w:t>
            </w:r>
          </w:p>
        </w:tc>
        <w:tc>
          <w:tcPr>
            <w:tcW w:type="dxa" w:w="4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an artefact is complete</w:t>
            </w:r>
          </w:p>
        </w:tc>
      </w:tr>
      <w:tr>
        <w:tc>
          <w:tcPr>
            <w:tcW w:type="dxa" w:w="4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a pilot population concentrates exposure on segments already disadvantaged</w:t>
            </w:r>
          </w:p>
        </w:tc>
        <w:tc>
          <w:tcPr>
            <w:tcW w:type="dxa" w:w="4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a vendor meets due diligence criteria</w:t>
            </w:r>
          </w:p>
        </w:tc>
      </w:tr>
      <w:tr>
        <w:tc>
          <w:tcPr>
            <w:tcW w:type="dxa" w:w="4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a proposed optimisation trades a protection the organisation had committed to</w:t>
            </w:r>
          </w:p>
        </w:tc>
        <w:tc>
          <w:tcPr>
            <w:tcW w:type="dxa" w:w="4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a model meets its performance thresholds</w:t>
            </w:r>
          </w:p>
        </w:tc>
      </w:tr>
    </w:tbl>
    <w:p>
      <w:pPr>
        <w:pStyle w:val="Heading1"/>
        <w:spacing w:after="160" w:before="320"/>
      </w:pPr>
      <w:r>
        <w:rPr>
          <w:b/>
          <w:bCs/>
          <w:color w:val="1F3864"/>
          <w:sz w:val="30"/>
          <w:szCs w:val="30"/>
        </w:rPr>
        <w:t xml:space="preserve">5. Reviews conducted on the Credit Decisioning Assistant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Review</w:t>
            </w:r>
          </w:p>
        </w:tc>
        <w:tc>
          <w:tcPr>
            <w:tcW w:type="dxa" w:w="16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Phase</w:t>
            </w:r>
          </w:p>
        </w:tc>
        <w:tc>
          <w:tcPr>
            <w:tcW w:type="dxa" w:w="3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Question asked</w:t>
            </w:r>
          </w:p>
        </w:tc>
        <w:tc>
          <w:tcPr>
            <w:tcW w:type="dxa" w:w="32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Outcome</w:t>
            </w:r>
          </w:p>
        </w:tc>
      </w:tr>
      <w:tr>
        <w:tc>
          <w:tcPr>
            <w:tcW w:type="dxa" w:w="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First</w:t>
            </w:r>
          </w:p>
        </w:tc>
        <w:tc>
          <w:tcPr>
            <w:tcW w:type="dxa" w:w="1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Phase 1, at purpose screening</w:t>
            </w:r>
          </w:p>
        </w:tc>
        <w:tc>
          <w:tcPr>
            <w:tcW w:type="dxa" w:w="3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the drafting-tool framing was self-serving — that is, whether describing the system as assistive rather than decisional was a considered classification or a convenient one</w:t>
            </w:r>
          </w:p>
        </w:tc>
        <w:tc>
          <w:tcPr>
            <w:tcW w:type="dxa" w:w="3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 dissent recorded. The committee accepted the high-risk determination and noted that the framing question had been resolved correctly by the AIGC before it arrived</w:t>
            </w:r>
          </w:p>
        </w:tc>
      </w:tr>
      <w:tr>
        <w:tc>
          <w:tcPr>
            <w:tcW w:type="dxa" w:w="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Second</w:t>
            </w:r>
          </w:p>
        </w:tc>
        <w:tc>
          <w:tcPr>
            <w:tcW w:type="dxa" w:w="1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Phase 5, following the fairness finding</w:t>
            </w:r>
          </w:p>
        </w:tc>
        <w:tc>
          <w:tcPr>
            <w:tcW w:type="dxa" w:w="3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the pilot population of 500 applications had been selected in a way that concentrated exposure on the segments already disadvantaged by the proxy-attribute defect</w:t>
            </w:r>
          </w:p>
        </w:tc>
        <w:tc>
          <w:tcPr>
            <w:tcW w:type="dxa" w:w="3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It had not — but nobody had checked until the committee asked. The check is now a standing pre-condition for any bounded pilot population</w:t>
            </w:r>
          </w:p>
        </w:tc>
      </w:tr>
    </w:tbl>
    <w:p>
      <w:pPr>
        <w:spacing w:after="160" w:line="276"/>
      </w:pPr>
      <w:r>
        <w:rPr>
          <w:rFonts w:ascii="Calibri" w:cs="Calibri" w:eastAsia="Calibri" w:hAnsi="Calibri"/>
          <w:b w:val="false"/>
          <w:bCs w:val="false"/>
          <w:i/>
          <w:iCs/>
          <w:sz w:val="21"/>
          <w:szCs w:val="21"/>
        </w:rPr>
        <w:t xml:space="preserve">The second review is the clearest demonstration of why this committee is not redundant. The question it asked is not a control question, has no threshold attached, and would not have surfaced in any gate criterion. The AIGC would not have asked it, and the framework as written did not require it.</w:t>
      </w:r>
    </w:p>
    <w:p>
      <w:pPr>
        <w:pStyle w:val="Heading1"/>
        <w:spacing w:after="160" w:before="320"/>
      </w:pPr>
      <w:r>
        <w:rPr>
          <w:b/>
          <w:bCs/>
          <w:color w:val="1F3864"/>
          <w:sz w:val="30"/>
          <w:szCs w:val="30"/>
        </w:rPr>
        <w:t xml:space="preserve">6. Cadence and reporting</w:t>
      </w:r>
    </w:p>
    <w:p>
      <w:pPr>
        <w:pStyle w:val="ListParagraph"/>
        <w:numPr>
          <w:ilvl w:val="0"/>
          <w:numId w:val="2"/>
        </w:numPr>
        <w:spacing w:after="90"/>
      </w:pPr>
      <w:r>
        <w:rPr>
          <w:rFonts w:ascii="Calibri" w:cs="Calibri" w:eastAsia="Calibri" w:hAnsi="Calibri"/>
          <w:sz w:val="21"/>
          <w:szCs w:val="21"/>
        </w:rPr>
        <w:t xml:space="preserve">Quarterly, aligned to the periodic responsible model review cycle.</w:t>
      </w:r>
    </w:p>
    <w:p>
      <w:pPr>
        <w:pStyle w:val="ListParagraph"/>
        <w:numPr>
          <w:ilvl w:val="0"/>
          <w:numId w:val="2"/>
        </w:numPr>
        <w:spacing w:after="90"/>
      </w:pPr>
      <w:r>
        <w:rPr>
          <w:rFonts w:ascii="Calibri" w:cs="Calibri" w:eastAsia="Calibri" w:hAnsi="Calibri"/>
          <w:sz w:val="21"/>
          <w:szCs w:val="21"/>
        </w:rPr>
        <w:t xml:space="preserve">On referral from the AIGC, which may seek an advisory opinion on any use case.</w:t>
      </w:r>
    </w:p>
    <w:p>
      <w:pPr>
        <w:pStyle w:val="ListParagraph"/>
        <w:numPr>
          <w:ilvl w:val="0"/>
          <w:numId w:val="2"/>
        </w:numPr>
        <w:spacing w:after="90"/>
      </w:pPr>
      <w:r>
        <w:rPr>
          <w:rFonts w:ascii="Calibri" w:cs="Calibri" w:eastAsia="Calibri" w:hAnsi="Calibri"/>
          <w:sz w:val="21"/>
          <w:szCs w:val="21"/>
        </w:rPr>
        <w:t xml:space="preserve">On its own initiative, where a member raises a concern about any system in the AI inventory.</w:t>
      </w:r>
    </w:p>
    <w:p>
      <w:pPr>
        <w:pStyle w:val="ListParagraph"/>
        <w:numPr>
          <w:ilvl w:val="0"/>
          <w:numId w:val="2"/>
        </w:numPr>
        <w:spacing w:after="90"/>
      </w:pPr>
      <w:r>
        <w:rPr>
          <w:rFonts w:ascii="Calibri" w:cs="Calibri" w:eastAsia="Calibri" w:hAnsi="Calibri"/>
          <w:sz w:val="21"/>
          <w:szCs w:val="21"/>
        </w:rPr>
        <w:t xml:space="preserve">Reports annually to the Board. Reports immediately to the Board where it judges an ethical concern to remain unresolved after AIGC consideration.</w:t>
      </w:r>
    </w:p>
    <w:p>
      <w:pPr>
        <w:pStyle w:val="Heading1"/>
        <w:spacing w:after="160" w:before="320"/>
      </w:pPr>
      <w:r>
        <w:rPr>
          <w:b/>
          <w:bCs/>
          <w:color w:val="1F3864"/>
          <w:sz w:val="30"/>
          <w:szCs w:val="30"/>
        </w:rPr>
        <w:t xml:space="preserve">7. Sunset review</w:t>
      </w:r>
    </w:p>
    <w:p>
      <w:pPr>
        <w:spacing w:after="160" w:line="276"/>
      </w:pPr>
      <w:r>
        <w:rPr>
          <w:rFonts w:ascii="Calibri" w:cs="Calibri" w:eastAsia="Calibri" w:hAnsi="Calibri"/>
          <w:b w:val="false"/>
          <w:bCs w:val="false"/>
          <w:i w:val="false"/>
          <w:iCs w:val="false"/>
          <w:sz w:val="21"/>
          <w:szCs w:val="21"/>
        </w:rPr>
        <w:t xml:space="preserve">This charter carries a twelve-month sunset review, and the constraint was self-imposed at establishment rather than requested. The review asks one question: has the committee asked anything in twelve months that the control framework would not have asked anyway. If the answer is no, the committee is dissolved and its remit returns to the AIGC.</w:t>
      </w:r>
    </w:p>
    <w:p>
      <w:pPr>
        <w:spacing w:after="160" w:line="276"/>
      </w:pPr>
      <w:r>
        <w:rPr>
          <w:rFonts w:ascii="Calibri" w:cs="Calibri" w:eastAsia="Calibri" w:hAnsi="Calibri"/>
          <w:b w:val="false"/>
          <w:bCs w:val="false"/>
          <w:i/>
          <w:iCs/>
          <w:sz w:val="21"/>
          <w:szCs w:val="21"/>
        </w:rPr>
        <w:t xml:space="preserve">Proposing a governance body with a mechanism for its own dissolution is what made it possible to argue for. A permanent structure requires a permanent justification; a reviewable one requires only that it earn the next twelve months.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2026-09-13T08:54:51.019Z</dcterms:created>
  <dcterms:modified xsi:type="dcterms:W3CDTF">2026-09-13T08:54:51.028Z</dcterms:modified>
</cp:coreProperties>
</file>

<file path=docProps/custom.xml><?xml version="1.0" encoding="utf-8"?>
<Properties xmlns="http://schemas.openxmlformats.org/officeDocument/2006/custom-properties" xmlns:vt="http://schemas.openxmlformats.org/officeDocument/2006/docPropsVTypes"/>
</file>