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Calibri" w:cs="Calibri" w:eastAsia="Calibri" w:hAnsi="Calibri"/>
          <w:b/>
          <w:bCs/>
          <w:color w:val="1F3864"/>
          <w:sz w:val="40"/>
          <w:szCs w:val="40"/>
        </w:rPr>
        <w:t xml:space="preserve">Business Continuity &amp; Operational Resilience Playbook</w:t>
      </w:r>
    </w:p>
    <w:p>
      <w:pPr>
        <w:spacing w:after="300"/>
      </w:pPr>
      <w:r>
        <w:rPr>
          <w:rFonts w:ascii="Calibri" w:cs="Calibri" w:eastAsia="Calibri" w:hAnsi="Calibri"/>
          <w:i/>
          <w:iCs/>
          <w:color w:val="44546A"/>
          <w:sz w:val="23"/>
          <w:szCs w:val="23"/>
        </w:rPr>
        <w:t xml:space="preserve">AI-assisted credit decisioning annexe — Artefact A-44, v3.1</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2100"/>
            <w:shd w:fill="1F3864" w:val="clear"/>
            <w:tcMar>
              <w:top w:type="dxa" w:w="70"/>
              <w:left w:type="dxa" w:w="90"/>
              <w:bottom w:type="dxa" w:w="70"/>
              <w:right w:type="dxa" w:w="90"/>
            </w:tcMar>
            <w:vAlign w:val="center"/>
          </w:tcPr>
          <w:p>
            <w:r>
              <w:rPr>
                <w:rFonts w:ascii="Calibri" w:cs="Calibri" w:eastAsia="Calibri" w:hAnsi="Calibri"/>
                <w:b/>
                <w:bCs/>
                <w:color w:val="FFFFFF"/>
                <w:sz w:val="18"/>
                <w:szCs w:val="18"/>
              </w:rPr>
              <w:t xml:space="preserve">Field</w:t>
            </w:r>
          </w:p>
        </w:tc>
        <w:tc>
          <w:tcPr>
            <w:tcW w:type="dxa" w:w="7400"/>
            <w:shd w:fill="1F3864" w:val="clear"/>
            <w:tcMar>
              <w:top w:type="dxa" w:w="70"/>
              <w:left w:type="dxa" w:w="90"/>
              <w:bottom w:type="dxa" w:w="70"/>
              <w:right w:type="dxa" w:w="90"/>
            </w:tcMar>
            <w:vAlign w:val="center"/>
          </w:tcPr>
          <w:p>
            <w:r>
              <w:rPr>
                <w:rFonts w:ascii="Calibri" w:cs="Calibri" w:eastAsia="Calibri" w:hAnsi="Calibri"/>
                <w:b/>
                <w:bCs/>
                <w:color w:val="FFFFFF"/>
                <w:sz w:val="18"/>
                <w:szCs w:val="18"/>
              </w:rPr>
              <w:t xml:space="preserve">Detail</w:t>
            </w:r>
          </w:p>
        </w:tc>
      </w:tr>
      <w:tr>
        <w:tc>
          <w:tcPr>
            <w:tcW w:type="dxa" w:w="2100"/>
            <w:shd w:fill="FFFFFF" w:val="clear"/>
            <w:tcMar>
              <w:top w:type="dxa" w:w="70"/>
              <w:left w:type="dxa" w:w="90"/>
              <w:bottom w:type="dxa" w:w="70"/>
              <w:right w:type="dxa" w:w="90"/>
            </w:tcMar>
            <w:vAlign w:val="center"/>
          </w:tcPr>
          <w:p>
            <w:r>
              <w:rPr>
                <w:rFonts w:ascii="Calibri" w:cs="Calibri" w:eastAsia="Calibri" w:hAnsi="Calibri"/>
                <w:b w:val="false"/>
                <w:bCs w:val="false"/>
                <w:color w:val="000000"/>
                <w:sz w:val="18"/>
                <w:szCs w:val="18"/>
              </w:rPr>
              <w:t xml:space="preserve">Artefact ID</w:t>
            </w:r>
          </w:p>
        </w:tc>
        <w:tc>
          <w:tcPr>
            <w:tcW w:type="dxa" w:w="7400"/>
            <w:shd w:fill="FFFFFF" w:val="clear"/>
            <w:tcMar>
              <w:top w:type="dxa" w:w="70"/>
              <w:left w:type="dxa" w:w="90"/>
              <w:bottom w:type="dxa" w:w="70"/>
              <w:right w:type="dxa" w:w="90"/>
            </w:tcMar>
            <w:vAlign w:val="center"/>
          </w:tcPr>
          <w:p>
            <w:r>
              <w:rPr>
                <w:rFonts w:ascii="Calibri" w:cs="Calibri" w:eastAsia="Calibri" w:hAnsi="Calibri"/>
                <w:b w:val="false"/>
                <w:bCs w:val="false"/>
                <w:color w:val="000000"/>
                <w:sz w:val="18"/>
                <w:szCs w:val="18"/>
              </w:rPr>
              <w:t xml:space="preserve">A-44</w:t>
            </w:r>
          </w:p>
        </w:tc>
      </w:tr>
      <w:tr>
        <w:tc>
          <w:tcPr>
            <w:tcW w:type="dxa" w:w="2100"/>
            <w:shd w:fill="F2F2F2" w:val="clear"/>
            <w:tcMar>
              <w:top w:type="dxa" w:w="70"/>
              <w:left w:type="dxa" w:w="90"/>
              <w:bottom w:type="dxa" w:w="70"/>
              <w:right w:type="dxa" w:w="90"/>
            </w:tcMar>
            <w:vAlign w:val="center"/>
          </w:tcPr>
          <w:p>
            <w:r>
              <w:rPr>
                <w:rFonts w:ascii="Calibri" w:cs="Calibri" w:eastAsia="Calibri" w:hAnsi="Calibri"/>
                <w:b w:val="false"/>
                <w:bCs w:val="false"/>
                <w:color w:val="000000"/>
                <w:sz w:val="18"/>
                <w:szCs w:val="18"/>
              </w:rPr>
              <w:t xml:space="preserve">Title</w:t>
            </w:r>
          </w:p>
        </w:tc>
        <w:tc>
          <w:tcPr>
            <w:tcW w:type="dxa" w:w="7400"/>
            <w:shd w:fill="F2F2F2" w:val="clear"/>
            <w:tcMar>
              <w:top w:type="dxa" w:w="70"/>
              <w:left w:type="dxa" w:w="90"/>
              <w:bottom w:type="dxa" w:w="70"/>
              <w:right w:type="dxa" w:w="90"/>
            </w:tcMar>
            <w:vAlign w:val="center"/>
          </w:tcPr>
          <w:p>
            <w:r>
              <w:rPr>
                <w:rFonts w:ascii="Calibri" w:cs="Calibri" w:eastAsia="Calibri" w:hAnsi="Calibri"/>
                <w:b w:val="false"/>
                <w:bCs w:val="false"/>
                <w:color w:val="000000"/>
                <w:sz w:val="18"/>
                <w:szCs w:val="18"/>
              </w:rPr>
              <w:t xml:space="preserve">Business Continuity &amp; Operational Resilience Playbook — AI-assisted credit decisioning</w:t>
            </w:r>
          </w:p>
        </w:tc>
      </w:tr>
      <w:tr>
        <w:tc>
          <w:tcPr>
            <w:tcW w:type="dxa" w:w="2100"/>
            <w:shd w:fill="FFFFFF" w:val="clear"/>
            <w:tcMar>
              <w:top w:type="dxa" w:w="70"/>
              <w:left w:type="dxa" w:w="90"/>
              <w:bottom w:type="dxa" w:w="70"/>
              <w:right w:type="dxa" w:w="90"/>
            </w:tcMar>
            <w:vAlign w:val="center"/>
          </w:tcPr>
          <w:p>
            <w:r>
              <w:rPr>
                <w:rFonts w:ascii="Calibri" w:cs="Calibri" w:eastAsia="Calibri" w:hAnsi="Calibri"/>
                <w:b w:val="false"/>
                <w:bCs w:val="false"/>
                <w:color w:val="000000"/>
                <w:sz w:val="18"/>
                <w:szCs w:val="18"/>
              </w:rPr>
              <w:t xml:space="preserve">System governed</w:t>
            </w:r>
          </w:p>
        </w:tc>
        <w:tc>
          <w:tcPr>
            <w:tcW w:type="dxa" w:w="7400"/>
            <w:shd w:fill="FFFFFF" w:val="clear"/>
            <w:tcMar>
              <w:top w:type="dxa" w:w="70"/>
              <w:left w:type="dxa" w:w="90"/>
              <w:bottom w:type="dxa" w:w="70"/>
              <w:right w:type="dxa" w:w="90"/>
            </w:tcMar>
            <w:vAlign w:val="center"/>
          </w:tcPr>
          <w:p>
            <w:r>
              <w:rPr>
                <w:rFonts w:ascii="Calibri" w:cs="Calibri" w:eastAsia="Calibri" w:hAnsi="Calibri"/>
                <w:b w:val="false"/>
                <w:bCs w:val="false"/>
                <w:color w:val="000000"/>
                <w:sz w:val="18"/>
                <w:szCs w:val="18"/>
              </w:rPr>
              <w:t xml:space="preserve">Credit Decisioning Assistant (CDA) — retrieval-grounded foundation-model assistant supporting retail credit decisions</w:t>
            </w:r>
          </w:p>
        </w:tc>
      </w:tr>
      <w:tr>
        <w:tc>
          <w:tcPr>
            <w:tcW w:type="dxa" w:w="2100"/>
            <w:shd w:fill="F2F2F2" w:val="clear"/>
            <w:tcMar>
              <w:top w:type="dxa" w:w="70"/>
              <w:left w:type="dxa" w:w="90"/>
              <w:bottom w:type="dxa" w:w="70"/>
              <w:right w:type="dxa" w:w="90"/>
            </w:tcMar>
            <w:vAlign w:val="center"/>
          </w:tcPr>
          <w:p>
            <w:r>
              <w:rPr>
                <w:rFonts w:ascii="Calibri" w:cs="Calibri" w:eastAsia="Calibri" w:hAnsi="Calibri"/>
                <w:b w:val="false"/>
                <w:bCs w:val="false"/>
                <w:color w:val="000000"/>
                <w:sz w:val="18"/>
                <w:szCs w:val="18"/>
              </w:rPr>
              <w:t xml:space="preserve">Document owner</w:t>
            </w:r>
          </w:p>
        </w:tc>
        <w:tc>
          <w:tcPr>
            <w:tcW w:type="dxa" w:w="7400"/>
            <w:shd w:fill="F2F2F2" w:val="clear"/>
            <w:tcMar>
              <w:top w:type="dxa" w:w="70"/>
              <w:left w:type="dxa" w:w="90"/>
              <w:bottom w:type="dxa" w:w="70"/>
              <w:right w:type="dxa" w:w="90"/>
            </w:tcMar>
            <w:vAlign w:val="center"/>
          </w:tcPr>
          <w:p>
            <w:r>
              <w:rPr>
                <w:rFonts w:ascii="Calibri" w:cs="Calibri" w:eastAsia="Calibri" w:hAnsi="Calibri"/>
                <w:b w:val="false"/>
                <w:bCs w:val="false"/>
                <w:color w:val="000000"/>
                <w:sz w:val="18"/>
                <w:szCs w:val="18"/>
              </w:rPr>
              <w:t xml:space="preserve">Head of Operational Resilience</w:t>
            </w:r>
          </w:p>
        </w:tc>
      </w:tr>
      <w:tr>
        <w:tc>
          <w:tcPr>
            <w:tcW w:type="dxa" w:w="2100"/>
            <w:shd w:fill="FFFFFF" w:val="clear"/>
            <w:tcMar>
              <w:top w:type="dxa" w:w="70"/>
              <w:left w:type="dxa" w:w="90"/>
              <w:bottom w:type="dxa" w:w="70"/>
              <w:right w:type="dxa" w:w="90"/>
            </w:tcMar>
            <w:vAlign w:val="center"/>
          </w:tcPr>
          <w:p>
            <w:r>
              <w:rPr>
                <w:rFonts w:ascii="Calibri" w:cs="Calibri" w:eastAsia="Calibri" w:hAnsi="Calibri"/>
                <w:b w:val="false"/>
                <w:bCs w:val="false"/>
                <w:color w:val="000000"/>
                <w:sz w:val="18"/>
                <w:szCs w:val="18"/>
              </w:rPr>
              <w:t xml:space="preserve">Approving authority</w:t>
            </w:r>
          </w:p>
        </w:tc>
        <w:tc>
          <w:tcPr>
            <w:tcW w:type="dxa" w:w="7400"/>
            <w:shd w:fill="FFFFFF" w:val="clear"/>
            <w:tcMar>
              <w:top w:type="dxa" w:w="70"/>
              <w:left w:type="dxa" w:w="90"/>
              <w:bottom w:type="dxa" w:w="70"/>
              <w:right w:type="dxa" w:w="90"/>
            </w:tcMar>
            <w:vAlign w:val="center"/>
          </w:tcPr>
          <w:p>
            <w:r>
              <w:rPr>
                <w:rFonts w:ascii="Calibri" w:cs="Calibri" w:eastAsia="Calibri" w:hAnsi="Calibri"/>
                <w:b w:val="false"/>
                <w:bCs w:val="false"/>
                <w:color w:val="000000"/>
                <w:sz w:val="18"/>
                <w:szCs w:val="18"/>
              </w:rPr>
              <w:t xml:space="preserve">AI Governance Committee, with Operational Resilience ratification</w:t>
            </w:r>
          </w:p>
        </w:tc>
      </w:tr>
      <w:tr>
        <w:tc>
          <w:tcPr>
            <w:tcW w:type="dxa" w:w="2100"/>
            <w:shd w:fill="F2F2F2" w:val="clear"/>
            <w:tcMar>
              <w:top w:type="dxa" w:w="70"/>
              <w:left w:type="dxa" w:w="90"/>
              <w:bottom w:type="dxa" w:w="70"/>
              <w:right w:type="dxa" w:w="90"/>
            </w:tcMar>
            <w:vAlign w:val="center"/>
          </w:tcPr>
          <w:p>
            <w:r>
              <w:rPr>
                <w:rFonts w:ascii="Calibri" w:cs="Calibri" w:eastAsia="Calibri" w:hAnsi="Calibri"/>
                <w:b w:val="false"/>
                <w:bCs w:val="false"/>
                <w:color w:val="000000"/>
                <w:sz w:val="18"/>
                <w:szCs w:val="18"/>
              </w:rPr>
              <w:t xml:space="preserve">Classification</w:t>
            </w:r>
          </w:p>
        </w:tc>
        <w:tc>
          <w:tcPr>
            <w:tcW w:type="dxa" w:w="7400"/>
            <w:shd w:fill="F2F2F2" w:val="clear"/>
            <w:tcMar>
              <w:top w:type="dxa" w:w="70"/>
              <w:left w:type="dxa" w:w="90"/>
              <w:bottom w:type="dxa" w:w="70"/>
              <w:right w:type="dxa" w:w="90"/>
            </w:tcMar>
            <w:vAlign w:val="center"/>
          </w:tcPr>
          <w:p>
            <w:r>
              <w:rPr>
                <w:rFonts w:ascii="Calibri" w:cs="Calibri" w:eastAsia="Calibri" w:hAnsi="Calibri"/>
                <w:b w:val="false"/>
                <w:bCs w:val="false"/>
                <w:color w:val="000000"/>
                <w:sz w:val="18"/>
                <w:szCs w:val="18"/>
              </w:rPr>
              <w:t xml:space="preserve">Internal — AI governance framework</w:t>
            </w:r>
          </w:p>
        </w:tc>
      </w:tr>
      <w:tr>
        <w:tc>
          <w:tcPr>
            <w:tcW w:type="dxa" w:w="2100"/>
            <w:shd w:fill="FFFFFF" w:val="clear"/>
            <w:tcMar>
              <w:top w:type="dxa" w:w="70"/>
              <w:left w:type="dxa" w:w="90"/>
              <w:bottom w:type="dxa" w:w="70"/>
              <w:right w:type="dxa" w:w="90"/>
            </w:tcMar>
            <w:vAlign w:val="center"/>
          </w:tcPr>
          <w:p>
            <w:r>
              <w:rPr>
                <w:rFonts w:ascii="Calibri" w:cs="Calibri" w:eastAsia="Calibri" w:hAnsi="Calibri"/>
                <w:b w:val="false"/>
                <w:bCs w:val="false"/>
                <w:color w:val="000000"/>
                <w:sz w:val="18"/>
                <w:szCs w:val="18"/>
              </w:rPr>
              <w:t xml:space="preserve">Regulatory basis</w:t>
            </w:r>
          </w:p>
        </w:tc>
        <w:tc>
          <w:tcPr>
            <w:tcW w:type="dxa" w:w="7400"/>
            <w:shd w:fill="FFFFFF" w:val="clear"/>
            <w:tcMar>
              <w:top w:type="dxa" w:w="70"/>
              <w:left w:type="dxa" w:w="90"/>
              <w:bottom w:type="dxa" w:w="70"/>
              <w:right w:type="dxa" w:w="90"/>
            </w:tcMar>
            <w:vAlign w:val="center"/>
          </w:tcPr>
          <w:p>
            <w:r>
              <w:rPr>
                <w:rFonts w:ascii="Calibri" w:cs="Calibri" w:eastAsia="Calibri" w:hAnsi="Calibri"/>
                <w:b w:val="false"/>
                <w:bCs w:val="false"/>
                <w:color w:val="000000"/>
                <w:sz w:val="18"/>
                <w:szCs w:val="18"/>
              </w:rPr>
              <w:t xml:space="preserve">MAS TRM 2021 Ch.8 and Ch.10; MAS Business Continuity Management Guidelines; EU AI Act Art.15 robustness and Art.26(5); ISO/IEC 42001 Cl.8; ISO 22301 alignment</w:t>
            </w:r>
          </w:p>
        </w:tc>
      </w:tr>
      <w:tr>
        <w:tc>
          <w:tcPr>
            <w:tcW w:type="dxa" w:w="2100"/>
            <w:shd w:fill="F2F2F2" w:val="clear"/>
            <w:tcMar>
              <w:top w:type="dxa" w:w="70"/>
              <w:left w:type="dxa" w:w="90"/>
              <w:bottom w:type="dxa" w:w="70"/>
              <w:right w:type="dxa" w:w="90"/>
            </w:tcMar>
            <w:vAlign w:val="center"/>
          </w:tcPr>
          <w:p>
            <w:r>
              <w:rPr>
                <w:rFonts w:ascii="Calibri" w:cs="Calibri" w:eastAsia="Calibri" w:hAnsi="Calibri"/>
                <w:b w:val="false"/>
                <w:bCs w:val="false"/>
                <w:color w:val="000000"/>
                <w:sz w:val="18"/>
                <w:szCs w:val="18"/>
              </w:rPr>
              <w:t xml:space="preserve">Review cycle</w:t>
            </w:r>
          </w:p>
        </w:tc>
        <w:tc>
          <w:tcPr>
            <w:tcW w:type="dxa" w:w="7400"/>
            <w:shd w:fill="F2F2F2" w:val="clear"/>
            <w:tcMar>
              <w:top w:type="dxa" w:w="70"/>
              <w:left w:type="dxa" w:w="90"/>
              <w:bottom w:type="dxa" w:w="70"/>
              <w:right w:type="dxa" w:w="90"/>
            </w:tcMar>
            <w:vAlign w:val="center"/>
          </w:tcPr>
          <w:p>
            <w:r>
              <w:rPr>
                <w:rFonts w:ascii="Calibri" w:cs="Calibri" w:eastAsia="Calibri" w:hAnsi="Calibri"/>
                <w:b w:val="false"/>
                <w:bCs w:val="false"/>
                <w:color w:val="000000"/>
                <w:sz w:val="18"/>
                <w:szCs w:val="18"/>
              </w:rPr>
              <w:t xml:space="preserve">Annual, or on any event trigger defined in Post_Deployment_Monitoring_and_Review_Policy §5</w:t>
            </w:r>
          </w:p>
        </w:tc>
      </w:tr>
      <w:tr>
        <w:tc>
          <w:tcPr>
            <w:tcW w:type="dxa" w:w="2100"/>
            <w:shd w:fill="FFFFFF" w:val="clear"/>
            <w:tcMar>
              <w:top w:type="dxa" w:w="70"/>
              <w:left w:type="dxa" w:w="90"/>
              <w:bottom w:type="dxa" w:w="70"/>
              <w:right w:type="dxa" w:w="90"/>
            </w:tcMar>
            <w:vAlign w:val="center"/>
          </w:tcPr>
          <w:p>
            <w:r>
              <w:rPr>
                <w:rFonts w:ascii="Calibri" w:cs="Calibri" w:eastAsia="Calibri" w:hAnsi="Calibri"/>
                <w:b w:val="false"/>
                <w:bCs w:val="false"/>
                <w:color w:val="000000"/>
                <w:sz w:val="18"/>
                <w:szCs w:val="18"/>
              </w:rPr>
              <w:t xml:space="preserve">Nature of this document</w:t>
            </w:r>
          </w:p>
        </w:tc>
        <w:tc>
          <w:tcPr>
            <w:tcW w:type="dxa" w:w="7400"/>
            <w:shd w:fill="FFFFFF" w:val="clear"/>
            <w:tcMar>
              <w:top w:type="dxa" w:w="70"/>
              <w:left w:type="dxa" w:w="90"/>
              <w:bottom w:type="dxa" w:w="70"/>
              <w:right w:type="dxa" w:w="90"/>
            </w:tcMar>
            <w:vAlign w:val="center"/>
          </w:tcPr>
          <w:p>
            <w:r>
              <w:rPr>
                <w:rFonts w:ascii="Calibri" w:cs="Calibri" w:eastAsia="Calibri" w:hAnsi="Calibri"/>
                <w:b w:val="false"/>
                <w:bCs w:val="false"/>
                <w:color w:val="000000"/>
                <w:sz w:val="18"/>
                <w:szCs w:val="18"/>
              </w:rPr>
              <w:t xml:space="preserve">Governance design artefact produced as part of a worked example. Figures, dates and named decisions are illustrative of how the control operates, not a record of a production deployment</w:t>
            </w:r>
          </w:p>
        </w:tc>
      </w:tr>
    </w:tbl>
    <w:p>
      <w:pPr>
        <w:spacing w:after="120" w:before="300"/>
      </w:pPr>
      <w:r>
        <w:rPr>
          <w:rFonts w:ascii="Calibri" w:cs="Calibri" w:eastAsia="Calibri" w:hAnsi="Calibri"/>
          <w:b/>
          <w:bCs/>
          <w:color w:val="1F3864"/>
          <w:sz w:val="24"/>
          <w:szCs w:val="24"/>
        </w:rPr>
        <w:t xml:space="preserve">Document control</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tblGrid>
      <w:tr>
        <w:trPr>
          <w:tblHeader/>
        </w:trPr>
        <w:tc>
          <w:tcPr>
            <w:tcW w:type="dxa" w:w="900"/>
            <w:shd w:fill="1F3864" w:val="clear"/>
            <w:tcMar>
              <w:top w:type="dxa" w:w="70"/>
              <w:left w:type="dxa" w:w="90"/>
              <w:bottom w:type="dxa" w:w="70"/>
              <w:right w:type="dxa" w:w="90"/>
            </w:tcMar>
            <w:vAlign w:val="center"/>
          </w:tcPr>
          <w:p>
            <w:r>
              <w:rPr>
                <w:rFonts w:ascii="Calibri" w:cs="Calibri" w:eastAsia="Calibri" w:hAnsi="Calibri"/>
                <w:b/>
                <w:bCs/>
                <w:color w:val="FFFFFF"/>
                <w:sz w:val="18"/>
                <w:szCs w:val="18"/>
              </w:rPr>
              <w:t xml:space="preserve">Version</w:t>
            </w:r>
          </w:p>
        </w:tc>
        <w:tc>
          <w:tcPr>
            <w:tcW w:type="dxa" w:w="1100"/>
            <w:shd w:fill="1F3864" w:val="clear"/>
            <w:tcMar>
              <w:top w:type="dxa" w:w="70"/>
              <w:left w:type="dxa" w:w="90"/>
              <w:bottom w:type="dxa" w:w="70"/>
              <w:right w:type="dxa" w:w="90"/>
            </w:tcMar>
            <w:vAlign w:val="center"/>
          </w:tcPr>
          <w:p>
            <w:r>
              <w:rPr>
                <w:rFonts w:ascii="Calibri" w:cs="Calibri" w:eastAsia="Calibri" w:hAnsi="Calibri"/>
                <w:b/>
                <w:bCs/>
                <w:color w:val="FFFFFF"/>
                <w:sz w:val="18"/>
                <w:szCs w:val="18"/>
              </w:rPr>
              <w:t xml:space="preserve">Date</w:t>
            </w:r>
          </w:p>
        </w:tc>
        <w:tc>
          <w:tcPr>
            <w:tcW w:type="dxa" w:w="1800"/>
            <w:shd w:fill="1F3864" w:val="clear"/>
            <w:tcMar>
              <w:top w:type="dxa" w:w="70"/>
              <w:left w:type="dxa" w:w="90"/>
              <w:bottom w:type="dxa" w:w="70"/>
              <w:right w:type="dxa" w:w="90"/>
            </w:tcMar>
            <w:vAlign w:val="center"/>
          </w:tcPr>
          <w:p>
            <w:r>
              <w:rPr>
                <w:rFonts w:ascii="Calibri" w:cs="Calibri" w:eastAsia="Calibri" w:hAnsi="Calibri"/>
                <w:b/>
                <w:bCs/>
                <w:color w:val="FFFFFF"/>
                <w:sz w:val="18"/>
                <w:szCs w:val="18"/>
              </w:rPr>
              <w:t xml:space="preserve">Author</w:t>
            </w:r>
          </w:p>
        </w:tc>
        <w:tc>
          <w:tcPr>
            <w:tcW w:type="dxa" w:w="1900"/>
            <w:shd w:fill="1F3864" w:val="clear"/>
            <w:tcMar>
              <w:top w:type="dxa" w:w="70"/>
              <w:left w:type="dxa" w:w="90"/>
              <w:bottom w:type="dxa" w:w="70"/>
              <w:right w:type="dxa" w:w="90"/>
            </w:tcMar>
            <w:vAlign w:val="center"/>
          </w:tcPr>
          <w:p>
            <w:r>
              <w:rPr>
                <w:rFonts w:ascii="Calibri" w:cs="Calibri" w:eastAsia="Calibri" w:hAnsi="Calibri"/>
                <w:b/>
                <w:bCs/>
                <w:color w:val="FFFFFF"/>
                <w:sz w:val="18"/>
                <w:szCs w:val="18"/>
              </w:rPr>
              <w:t xml:space="preserve">Reviewer</w:t>
            </w:r>
          </w:p>
        </w:tc>
        <w:tc>
          <w:tcPr>
            <w:tcW w:type="dxa" w:w="1800"/>
            <w:shd w:fill="1F3864" w:val="clear"/>
            <w:tcMar>
              <w:top w:type="dxa" w:w="70"/>
              <w:left w:type="dxa" w:w="90"/>
              <w:bottom w:type="dxa" w:w="70"/>
              <w:right w:type="dxa" w:w="90"/>
            </w:tcMar>
            <w:vAlign w:val="center"/>
          </w:tcPr>
          <w:p>
            <w:r>
              <w:rPr>
                <w:rFonts w:ascii="Calibri" w:cs="Calibri" w:eastAsia="Calibri" w:hAnsi="Calibri"/>
                <w:b/>
                <w:bCs/>
                <w:color w:val="FFFFFF"/>
                <w:sz w:val="18"/>
                <w:szCs w:val="18"/>
              </w:rPr>
              <w:t xml:space="preserve">Approver</w:t>
            </w:r>
          </w:p>
        </w:tc>
        <w:tc>
          <w:tcPr>
            <w:tcW w:type="dxa" w:w="1000"/>
            <w:shd w:fill="1F3864" w:val="clear"/>
            <w:tcMar>
              <w:top w:type="dxa" w:w="70"/>
              <w:left w:type="dxa" w:w="90"/>
              <w:bottom w:type="dxa" w:w="70"/>
              <w:right w:type="dxa" w:w="90"/>
            </w:tcMar>
            <w:vAlign w:val="center"/>
          </w:tcPr>
          <w:p>
            <w:r>
              <w:rPr>
                <w:rFonts w:ascii="Calibri" w:cs="Calibri" w:eastAsia="Calibri" w:hAnsi="Calibri"/>
                <w:b/>
                <w:bCs/>
                <w:color w:val="FFFFFF"/>
                <w:sz w:val="18"/>
                <w:szCs w:val="18"/>
              </w:rPr>
              <w:t xml:space="preserve">Status</w:t>
            </w:r>
          </w:p>
        </w:tc>
        <w:tc>
          <w:tcPr>
            <w:tcW w:type="dxa" w:w="3000"/>
            <w:shd w:fill="1F3864" w:val="clear"/>
            <w:tcMar>
              <w:top w:type="dxa" w:w="70"/>
              <w:left w:type="dxa" w:w="90"/>
              <w:bottom w:type="dxa" w:w="70"/>
              <w:right w:type="dxa" w:w="90"/>
            </w:tcMar>
            <w:vAlign w:val="center"/>
          </w:tcPr>
          <w:p>
            <w:r>
              <w:rPr>
                <w:rFonts w:ascii="Calibri" w:cs="Calibri" w:eastAsia="Calibri" w:hAnsi="Calibri"/>
                <w:b/>
                <w:bCs/>
                <w:color w:val="FFFFFF"/>
                <w:sz w:val="18"/>
                <w:szCs w:val="18"/>
              </w:rPr>
              <w:t xml:space="preserve">Change summary</w:t>
            </w:r>
          </w:p>
        </w:tc>
      </w:tr>
      <w:tr>
        <w:tc>
          <w:tcPr>
            <w:tcW w:type="dxa" w:w="900"/>
            <w:shd w:fill="FFFFFF" w:val="clear"/>
            <w:tcMar>
              <w:top w:type="dxa" w:w="70"/>
              <w:left w:type="dxa" w:w="90"/>
              <w:bottom w:type="dxa" w:w="70"/>
              <w:right w:type="dxa" w:w="90"/>
            </w:tcMar>
            <w:vAlign w:val="center"/>
          </w:tcPr>
          <w:p>
            <w:r>
              <w:rPr>
                <w:rFonts w:ascii="Calibri" w:cs="Calibri" w:eastAsia="Calibri" w:hAnsi="Calibri"/>
                <w:b w:val="false"/>
                <w:bCs w:val="false"/>
                <w:color w:val="000000"/>
                <w:sz w:val="18"/>
                <w:szCs w:val="18"/>
              </w:rPr>
              <w:t xml:space="preserve">v3.0</w:t>
            </w:r>
          </w:p>
        </w:tc>
        <w:tc>
          <w:tcPr>
            <w:tcW w:type="dxa" w:w="1100"/>
            <w:shd w:fill="FFFFFF" w:val="clear"/>
            <w:tcMar>
              <w:top w:type="dxa" w:w="70"/>
              <w:left w:type="dxa" w:w="90"/>
              <w:bottom w:type="dxa" w:w="70"/>
              <w:right w:type="dxa" w:w="90"/>
            </w:tcMar>
            <w:vAlign w:val="center"/>
          </w:tcPr>
          <w:p>
            <w:r>
              <w:rPr>
                <w:rFonts w:ascii="Calibri" w:cs="Calibri" w:eastAsia="Calibri" w:hAnsi="Calibri"/>
                <w:b w:val="false"/>
                <w:bCs w:val="false"/>
                <w:color w:val="000000"/>
                <w:sz w:val="18"/>
                <w:szCs w:val="18"/>
              </w:rPr>
              <w:t xml:space="preserve">2025-06-18</w:t>
            </w:r>
          </w:p>
        </w:tc>
        <w:tc>
          <w:tcPr>
            <w:tcW w:type="dxa" w:w="1800"/>
            <w:shd w:fill="FFFFFF" w:val="clear"/>
            <w:tcMar>
              <w:top w:type="dxa" w:w="70"/>
              <w:left w:type="dxa" w:w="90"/>
              <w:bottom w:type="dxa" w:w="70"/>
              <w:right w:type="dxa" w:w="90"/>
            </w:tcMar>
            <w:vAlign w:val="center"/>
          </w:tcPr>
          <w:p>
            <w:r>
              <w:rPr>
                <w:rFonts w:ascii="Calibri" w:cs="Calibri" w:eastAsia="Calibri" w:hAnsi="Calibri"/>
                <w:b w:val="false"/>
                <w:bCs w:val="false"/>
                <w:color w:val="000000"/>
                <w:sz w:val="18"/>
                <w:szCs w:val="18"/>
              </w:rPr>
              <w:t xml:space="preserve">Head of Operational Resilience</w:t>
            </w:r>
          </w:p>
        </w:tc>
        <w:tc>
          <w:tcPr>
            <w:tcW w:type="dxa" w:w="1900"/>
            <w:shd w:fill="FFFFFF" w:val="clear"/>
            <w:tcMar>
              <w:top w:type="dxa" w:w="70"/>
              <w:left w:type="dxa" w:w="90"/>
              <w:bottom w:type="dxa" w:w="70"/>
              <w:right w:type="dxa" w:w="90"/>
            </w:tcMar>
            <w:vAlign w:val="center"/>
          </w:tcPr>
          <w:p>
            <w:r>
              <w:rPr>
                <w:rFonts w:ascii="Calibri" w:cs="Calibri" w:eastAsia="Calibri" w:hAnsi="Calibri"/>
                <w:b w:val="false"/>
                <w:bCs w:val="false"/>
                <w:color w:val="000000"/>
                <w:sz w:val="18"/>
                <w:szCs w:val="18"/>
              </w:rPr>
              <w:t xml:space="preserve">Technology Risk</w:t>
            </w:r>
          </w:p>
        </w:tc>
        <w:tc>
          <w:tcPr>
            <w:tcW w:type="dxa" w:w="1800"/>
            <w:shd w:fill="FFFFFF" w:val="clear"/>
            <w:tcMar>
              <w:top w:type="dxa" w:w="70"/>
              <w:left w:type="dxa" w:w="90"/>
              <w:bottom w:type="dxa" w:w="70"/>
              <w:right w:type="dxa" w:w="90"/>
            </w:tcMar>
            <w:vAlign w:val="center"/>
          </w:tcPr>
          <w:p>
            <w:r>
              <w:rPr>
                <w:rFonts w:ascii="Calibri" w:cs="Calibri" w:eastAsia="Calibri" w:hAnsi="Calibri"/>
                <w:b w:val="false"/>
                <w:bCs w:val="false"/>
                <w:color w:val="000000"/>
                <w:sz w:val="18"/>
                <w:szCs w:val="18"/>
              </w:rPr>
              <w:t xml:space="preserve">Operational Resilience Committee</w:t>
            </w:r>
          </w:p>
        </w:tc>
        <w:tc>
          <w:tcPr>
            <w:tcW w:type="dxa" w:w="1000"/>
            <w:shd w:fill="FFFFFF" w:val="clear"/>
            <w:tcMar>
              <w:top w:type="dxa" w:w="70"/>
              <w:left w:type="dxa" w:w="90"/>
              <w:bottom w:type="dxa" w:w="70"/>
              <w:right w:type="dxa" w:w="90"/>
            </w:tcMar>
            <w:vAlign w:val="center"/>
          </w:tcPr>
          <w:p>
            <w:r>
              <w:rPr>
                <w:rFonts w:ascii="Calibri" w:cs="Calibri" w:eastAsia="Calibri" w:hAnsi="Calibri"/>
                <w:b w:val="false"/>
                <w:bCs w:val="false"/>
                <w:color w:val="000000"/>
                <w:sz w:val="18"/>
                <w:szCs w:val="18"/>
              </w:rPr>
              <w:t xml:space="preserve">Superseded</w:t>
            </w:r>
          </w:p>
        </w:tc>
        <w:tc>
          <w:tcPr>
            <w:tcW w:type="dxa" w:w="3000"/>
            <w:shd w:fill="FFFFFF" w:val="clear"/>
            <w:tcMar>
              <w:top w:type="dxa" w:w="70"/>
              <w:left w:type="dxa" w:w="90"/>
              <w:bottom w:type="dxa" w:w="70"/>
              <w:right w:type="dxa" w:w="90"/>
            </w:tcMar>
            <w:vAlign w:val="center"/>
          </w:tcPr>
          <w:p>
            <w:r>
              <w:rPr>
                <w:rFonts w:ascii="Calibri" w:cs="Calibri" w:eastAsia="Calibri" w:hAnsi="Calibri"/>
                <w:b w:val="false"/>
                <w:bCs w:val="false"/>
                <w:color w:val="000000"/>
                <w:sz w:val="18"/>
                <w:szCs w:val="18"/>
              </w:rPr>
              <w:t xml:space="preserve">Enterprise playbook for the manual underwriting process</w:t>
            </w:r>
          </w:p>
        </w:tc>
      </w:tr>
      <w:tr>
        <w:tc>
          <w:tcPr>
            <w:tcW w:type="dxa" w:w="900"/>
            <w:shd w:fill="F2F2F2" w:val="clear"/>
            <w:tcMar>
              <w:top w:type="dxa" w:w="70"/>
              <w:left w:type="dxa" w:w="90"/>
              <w:bottom w:type="dxa" w:w="70"/>
              <w:right w:type="dxa" w:w="90"/>
            </w:tcMar>
            <w:vAlign w:val="center"/>
          </w:tcPr>
          <w:p>
            <w:r>
              <w:rPr>
                <w:rFonts w:ascii="Calibri" w:cs="Calibri" w:eastAsia="Calibri" w:hAnsi="Calibri"/>
                <w:b w:val="false"/>
                <w:bCs w:val="false"/>
                <w:color w:val="000000"/>
                <w:sz w:val="18"/>
                <w:szCs w:val="18"/>
              </w:rPr>
              <w:t xml:space="preserve">v3.1</w:t>
            </w:r>
          </w:p>
        </w:tc>
        <w:tc>
          <w:tcPr>
            <w:tcW w:type="dxa" w:w="1100"/>
            <w:shd w:fill="F2F2F2" w:val="clear"/>
            <w:tcMar>
              <w:top w:type="dxa" w:w="70"/>
              <w:left w:type="dxa" w:w="90"/>
              <w:bottom w:type="dxa" w:w="70"/>
              <w:right w:type="dxa" w:w="90"/>
            </w:tcMar>
            <w:vAlign w:val="center"/>
          </w:tcPr>
          <w:p>
            <w:r>
              <w:rPr>
                <w:rFonts w:ascii="Calibri" w:cs="Calibri" w:eastAsia="Calibri" w:hAnsi="Calibri"/>
                <w:b w:val="false"/>
                <w:bCs w:val="false"/>
                <w:color w:val="000000"/>
                <w:sz w:val="18"/>
                <w:szCs w:val="18"/>
              </w:rPr>
              <w:t xml:space="preserve">2026-03-25</w:t>
            </w:r>
          </w:p>
        </w:tc>
        <w:tc>
          <w:tcPr>
            <w:tcW w:type="dxa" w:w="1800"/>
            <w:shd w:fill="F2F2F2" w:val="clear"/>
            <w:tcMar>
              <w:top w:type="dxa" w:w="70"/>
              <w:left w:type="dxa" w:w="90"/>
              <w:bottom w:type="dxa" w:w="70"/>
              <w:right w:type="dxa" w:w="90"/>
            </w:tcMar>
            <w:vAlign w:val="center"/>
          </w:tcPr>
          <w:p>
            <w:r>
              <w:rPr>
                <w:rFonts w:ascii="Calibri" w:cs="Calibri" w:eastAsia="Calibri" w:hAnsi="Calibri"/>
                <w:b w:val="false"/>
                <w:bCs w:val="false"/>
                <w:color w:val="000000"/>
                <w:sz w:val="18"/>
                <w:szCs w:val="18"/>
              </w:rPr>
              <w:t xml:space="preserve">Head of Operational Resilience</w:t>
            </w:r>
          </w:p>
        </w:tc>
        <w:tc>
          <w:tcPr>
            <w:tcW w:type="dxa" w:w="1900"/>
            <w:shd w:fill="F2F2F2" w:val="clear"/>
            <w:tcMar>
              <w:top w:type="dxa" w:w="70"/>
              <w:left w:type="dxa" w:w="90"/>
              <w:bottom w:type="dxa" w:w="70"/>
              <w:right w:type="dxa" w:w="90"/>
            </w:tcMar>
            <w:vAlign w:val="center"/>
          </w:tcPr>
          <w:p>
            <w:r>
              <w:rPr>
                <w:rFonts w:ascii="Calibri" w:cs="Calibri" w:eastAsia="Calibri" w:hAnsi="Calibri"/>
                <w:b w:val="false"/>
                <w:bCs w:val="false"/>
                <w:color w:val="000000"/>
                <w:sz w:val="18"/>
                <w:szCs w:val="18"/>
              </w:rPr>
              <w:t xml:space="preserve">AI Governance Lead; CISO</w:t>
            </w:r>
          </w:p>
        </w:tc>
        <w:tc>
          <w:tcPr>
            <w:tcW w:type="dxa" w:w="1800"/>
            <w:shd w:fill="F2F2F2" w:val="clear"/>
            <w:tcMar>
              <w:top w:type="dxa" w:w="70"/>
              <w:left w:type="dxa" w:w="90"/>
              <w:bottom w:type="dxa" w:w="70"/>
              <w:right w:type="dxa" w:w="90"/>
            </w:tcMar>
            <w:vAlign w:val="center"/>
          </w:tcPr>
          <w:p>
            <w:r>
              <w:rPr>
                <w:rFonts w:ascii="Calibri" w:cs="Calibri" w:eastAsia="Calibri" w:hAnsi="Calibri"/>
                <w:b w:val="false"/>
                <w:bCs w:val="false"/>
                <w:color w:val="000000"/>
                <w:sz w:val="18"/>
                <w:szCs w:val="18"/>
              </w:rPr>
              <w:t xml:space="preserve">AI Governance Committee</w:t>
            </w:r>
          </w:p>
        </w:tc>
        <w:tc>
          <w:tcPr>
            <w:tcW w:type="dxa" w:w="1000"/>
            <w:shd w:fill="F2F2F2" w:val="clear"/>
            <w:tcMar>
              <w:top w:type="dxa" w:w="70"/>
              <w:left w:type="dxa" w:w="90"/>
              <w:bottom w:type="dxa" w:w="70"/>
              <w:right w:type="dxa" w:w="90"/>
            </w:tcMar>
            <w:vAlign w:val="center"/>
          </w:tcPr>
          <w:p>
            <w:r>
              <w:rPr>
                <w:rFonts w:ascii="Calibri" w:cs="Calibri" w:eastAsia="Calibri" w:hAnsi="Calibri"/>
                <w:b w:val="false"/>
                <w:bCs w:val="false"/>
                <w:color w:val="000000"/>
                <w:sz w:val="18"/>
                <w:szCs w:val="18"/>
              </w:rPr>
              <w:t xml:space="preserve">Approved</w:t>
            </w:r>
          </w:p>
        </w:tc>
        <w:tc>
          <w:tcPr>
            <w:tcW w:type="dxa" w:w="3000"/>
            <w:shd w:fill="F2F2F2" w:val="clear"/>
            <w:tcMar>
              <w:top w:type="dxa" w:w="70"/>
              <w:left w:type="dxa" w:w="90"/>
              <w:bottom w:type="dxa" w:w="70"/>
              <w:right w:type="dxa" w:w="90"/>
            </w:tcMar>
            <w:vAlign w:val="center"/>
          </w:tcPr>
          <w:p>
            <w:r>
              <w:rPr>
                <w:rFonts w:ascii="Calibri" w:cs="Calibri" w:eastAsia="Calibri" w:hAnsi="Calibri"/>
                <w:b w:val="false"/>
                <w:bCs w:val="false"/>
                <w:color w:val="000000"/>
                <w:sz w:val="18"/>
                <w:szCs w:val="18"/>
              </w:rPr>
              <w:t xml:space="preserve">AI-assisted decisioning annexed. Status: VALID — the existing playbook was already written around deterministic fallback and required annexation rather than amendment</w:t>
            </w:r>
          </w:p>
        </w:tc>
      </w:tr>
    </w:tbl>
    <w:p>
      <w:r>
        <w:br w:type="page"/>
      </w:r>
    </w:p>
    <w:p>
      <w:pPr>
        <w:pBdr>
          <w:left w:val="single" w:color="BF8F00" w:sz="18" w:space="8"/>
        </w:pBdr>
        <w:shd w:fill="FFF2CC" w:val="clear"/>
        <w:spacing w:after="200" w:before="80"/>
        <w:ind w:left="200"/>
      </w:pPr>
      <w:r>
        <w:rPr>
          <w:rFonts w:ascii="Calibri" w:cs="Calibri" w:eastAsia="Calibri" w:hAnsi="Calibri"/>
          <w:i/>
          <w:iCs/>
          <w:color w:val="7F6000"/>
          <w:sz w:val="20"/>
          <w:szCs w:val="20"/>
        </w:rPr>
        <w:t xml:space="preserve">⚠  Status rationale. This artefact is one of only three in the register carrying VALID status. The enterprise playbook already assumed a deterministic underwriting process capable of operating without any automated assistance, because that process predates the assistant. The AI deployment therefore introduced a new failure surface but no new recovery requirement — the recovery position was already the manual process. This annexe records the AI-specific triggers and routes; the underlying continuity strategy is unchanged.</w:t>
      </w:r>
    </w:p>
    <w:p>
      <w:pPr>
        <w:pStyle w:val="Heading1"/>
        <w:spacing w:after="160" w:before="320"/>
      </w:pPr>
      <w:r>
        <w:rPr>
          <w:b/>
          <w:bCs/>
          <w:color w:val="1F3864"/>
          <w:sz w:val="30"/>
          <w:szCs w:val="30"/>
        </w:rPr>
        <w:t xml:space="preserve">1. Resilience position in one sentence</w:t>
      </w:r>
    </w:p>
    <w:p>
      <w:pPr>
        <w:pBdr>
          <w:left w:val="single" w:color="1F3864" w:sz="18" w:space="8"/>
        </w:pBdr>
        <w:spacing w:after="200" w:before="120"/>
        <w:ind w:left="200"/>
      </w:pPr>
      <w:r>
        <w:rPr>
          <w:rFonts w:ascii="Calibri" w:cs="Calibri" w:eastAsia="Calibri" w:hAnsi="Calibri"/>
          <w:i/>
          <w:iCs/>
          <w:color w:val="1F3864"/>
          <w:sz w:val="22"/>
          <w:szCs w:val="22"/>
        </w:rPr>
        <w:t xml:space="preserve">The system fails to the deterministic score with no narration, never to a stale or partial narration — because a degraded-but-plausible output is more dangerous than no output.</w:t>
      </w:r>
    </w:p>
    <w:p>
      <w:pPr>
        <w:spacing w:after="160" w:line="276"/>
      </w:pPr>
      <w:r>
        <w:rPr>
          <w:rFonts w:ascii="Calibri" w:cs="Calibri" w:eastAsia="Calibri" w:hAnsi="Calibri"/>
          <w:b w:val="false"/>
          <w:bCs w:val="false"/>
          <w:i w:val="false"/>
          <w:iCs w:val="false"/>
          <w:sz w:val="21"/>
          <w:szCs w:val="21"/>
        </w:rPr>
        <w:t xml:space="preserve">That sentence is the whole design. The hybrid architecture means the credit decision does not depend on the generative component at all: the scoring layer produces the score and the recommendation, and the narration layer converts it into a policy-cited rationale. Losing the narration layer degrades the service; it does not stop it.</w:t>
      </w:r>
    </w:p>
    <w:p>
      <w:pPr>
        <w:pStyle w:val="Heading1"/>
        <w:spacing w:after="160" w:before="320"/>
      </w:pPr>
      <w:r>
        <w:rPr>
          <w:b/>
          <w:bCs/>
          <w:color w:val="1F3864"/>
          <w:sz w:val="30"/>
          <w:szCs w:val="30"/>
        </w:rPr>
        <w:t xml:space="preserve">2. Failure scenarios and automated response</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dxa" w:w="1900"/>
            <w:shd w:fill="1F3864" w:val="clear"/>
            <w:tcMar>
              <w:top w:type="dxa" w:w="70"/>
              <w:left w:type="dxa" w:w="90"/>
              <w:bottom w:type="dxa" w:w="70"/>
              <w:right w:type="dxa" w:w="90"/>
            </w:tcMar>
            <w:vAlign w:val="center"/>
          </w:tcPr>
          <w:p>
            <w:r>
              <w:rPr>
                <w:rFonts w:ascii="Calibri" w:cs="Calibri" w:eastAsia="Calibri" w:hAnsi="Calibri"/>
                <w:b/>
                <w:bCs/>
                <w:color w:val="FFFFFF"/>
                <w:sz w:val="18"/>
                <w:szCs w:val="18"/>
              </w:rPr>
              <w:t xml:space="preserve">Scenario</w:t>
            </w:r>
          </w:p>
        </w:tc>
        <w:tc>
          <w:tcPr>
            <w:tcW w:type="dxa" w:w="1700"/>
            <w:shd w:fill="1F3864" w:val="clear"/>
            <w:tcMar>
              <w:top w:type="dxa" w:w="70"/>
              <w:left w:type="dxa" w:w="90"/>
              <w:bottom w:type="dxa" w:w="70"/>
              <w:right w:type="dxa" w:w="90"/>
            </w:tcMar>
            <w:vAlign w:val="center"/>
          </w:tcPr>
          <w:p>
            <w:r>
              <w:rPr>
                <w:rFonts w:ascii="Calibri" w:cs="Calibri" w:eastAsia="Calibri" w:hAnsi="Calibri"/>
                <w:b/>
                <w:bCs/>
                <w:color w:val="FFFFFF"/>
                <w:sz w:val="18"/>
                <w:szCs w:val="18"/>
              </w:rPr>
              <w:t xml:space="preserve">Detection</w:t>
            </w:r>
          </w:p>
        </w:tc>
        <w:tc>
          <w:tcPr>
            <w:tcW w:type="dxa" w:w="2500"/>
            <w:shd w:fill="1F3864" w:val="clear"/>
            <w:tcMar>
              <w:top w:type="dxa" w:w="70"/>
              <w:left w:type="dxa" w:w="90"/>
              <w:bottom w:type="dxa" w:w="70"/>
              <w:right w:type="dxa" w:w="90"/>
            </w:tcMar>
            <w:vAlign w:val="center"/>
          </w:tcPr>
          <w:p>
            <w:r>
              <w:rPr>
                <w:rFonts w:ascii="Calibri" w:cs="Calibri" w:eastAsia="Calibri" w:hAnsi="Calibri"/>
                <w:b/>
                <w:bCs/>
                <w:color w:val="FFFFFF"/>
                <w:sz w:val="18"/>
                <w:szCs w:val="18"/>
              </w:rPr>
              <w:t xml:space="preserve">Automated response</w:t>
            </w:r>
          </w:p>
        </w:tc>
        <w:tc>
          <w:tcPr>
            <w:tcW w:type="dxa" w:w="2000"/>
            <w:shd w:fill="1F3864" w:val="clear"/>
            <w:tcMar>
              <w:top w:type="dxa" w:w="70"/>
              <w:left w:type="dxa" w:w="90"/>
              <w:bottom w:type="dxa" w:w="70"/>
              <w:right w:type="dxa" w:w="90"/>
            </w:tcMar>
            <w:vAlign w:val="center"/>
          </w:tcPr>
          <w:p>
            <w:r>
              <w:rPr>
                <w:rFonts w:ascii="Calibri" w:cs="Calibri" w:eastAsia="Calibri" w:hAnsi="Calibri"/>
                <w:b/>
                <w:bCs/>
                <w:color w:val="FFFFFF"/>
                <w:sz w:val="18"/>
                <w:szCs w:val="18"/>
              </w:rPr>
              <w:t xml:space="preserve">Service position</w:t>
            </w:r>
          </w:p>
        </w:tc>
        <w:tc>
          <w:tcPr>
            <w:tcW w:type="dxa" w:w="1400"/>
            <w:shd w:fill="1F3864" w:val="clear"/>
            <w:tcMar>
              <w:top w:type="dxa" w:w="70"/>
              <w:left w:type="dxa" w:w="90"/>
              <w:bottom w:type="dxa" w:w="70"/>
              <w:right w:type="dxa" w:w="90"/>
            </w:tcMar>
            <w:vAlign w:val="center"/>
          </w:tcPr>
          <w:p>
            <w:r>
              <w:rPr>
                <w:rFonts w:ascii="Calibri" w:cs="Calibri" w:eastAsia="Calibri" w:hAnsi="Calibri"/>
                <w:b/>
                <w:bCs/>
                <w:color w:val="FFFFFF"/>
                <w:sz w:val="18"/>
                <w:szCs w:val="18"/>
              </w:rPr>
              <w:t xml:space="preserve">Recovery</w:t>
            </w:r>
          </w:p>
        </w:tc>
      </w:tr>
      <w:tr>
        <w:tc>
          <w:tcPr>
            <w:tcW w:type="dxa" w:w="1900"/>
            <w:shd w:fill="FFFFFF" w:val="clear"/>
            <w:tcMar>
              <w:top w:type="dxa" w:w="70"/>
              <w:left w:type="dxa" w:w="90"/>
              <w:bottom w:type="dxa" w:w="70"/>
              <w:right w:type="dxa" w:w="90"/>
            </w:tcMar>
            <w:vAlign w:val="center"/>
          </w:tcPr>
          <w:p>
            <w:r>
              <w:rPr>
                <w:rFonts w:ascii="Calibri" w:cs="Calibri" w:eastAsia="Calibri" w:hAnsi="Calibri"/>
                <w:b w:val="false"/>
                <w:bCs w:val="false"/>
                <w:color w:val="000000"/>
                <w:sz w:val="18"/>
                <w:szCs w:val="18"/>
              </w:rPr>
              <w:t xml:space="preserve">Foundation model unavailable or degraded</w:t>
            </w:r>
          </w:p>
        </w:tc>
        <w:tc>
          <w:tcPr>
            <w:tcW w:type="dxa" w:w="1700"/>
            <w:shd w:fill="FFFFFF" w:val="clear"/>
            <w:tcMar>
              <w:top w:type="dxa" w:w="70"/>
              <w:left w:type="dxa" w:w="90"/>
              <w:bottom w:type="dxa" w:w="70"/>
              <w:right w:type="dxa" w:w="90"/>
            </w:tcMar>
            <w:vAlign w:val="center"/>
          </w:tcPr>
          <w:p>
            <w:r>
              <w:rPr>
                <w:rFonts w:ascii="Calibri" w:cs="Calibri" w:eastAsia="Calibri" w:hAnsi="Calibri"/>
                <w:b w:val="false"/>
                <w:bCs w:val="false"/>
                <w:color w:val="000000"/>
                <w:sz w:val="18"/>
                <w:szCs w:val="18"/>
              </w:rPr>
              <w:t xml:space="preserve">Latency and error-rate thresholds; health probe</w:t>
            </w:r>
          </w:p>
        </w:tc>
        <w:tc>
          <w:tcPr>
            <w:tcW w:type="dxa" w:w="2500"/>
            <w:shd w:fill="FFFFFF" w:val="clear"/>
            <w:tcMar>
              <w:top w:type="dxa" w:w="70"/>
              <w:left w:type="dxa" w:w="90"/>
              <w:bottom w:type="dxa" w:w="70"/>
              <w:right w:type="dxa" w:w="90"/>
            </w:tcMar>
            <w:vAlign w:val="center"/>
          </w:tcPr>
          <w:p>
            <w:r>
              <w:rPr>
                <w:rFonts w:ascii="Calibri" w:cs="Calibri" w:eastAsia="Calibri" w:hAnsi="Calibri"/>
                <w:b w:val="false"/>
                <w:bCs w:val="false"/>
                <w:color w:val="000000"/>
                <w:sz w:val="18"/>
                <w:szCs w:val="18"/>
              </w:rPr>
              <w:t xml:space="preserve">Circuit breaker opens; narration suppressed; traffic routed to the deterministic scoring engine</w:t>
            </w:r>
          </w:p>
        </w:tc>
        <w:tc>
          <w:tcPr>
            <w:tcW w:type="dxa" w:w="2000"/>
            <w:shd w:fill="FFFFFF" w:val="clear"/>
            <w:tcMar>
              <w:top w:type="dxa" w:w="70"/>
              <w:left w:type="dxa" w:w="90"/>
              <w:bottom w:type="dxa" w:w="70"/>
              <w:right w:type="dxa" w:w="90"/>
            </w:tcMar>
            <w:vAlign w:val="center"/>
          </w:tcPr>
          <w:p>
            <w:r>
              <w:rPr>
                <w:rFonts w:ascii="Calibri" w:cs="Calibri" w:eastAsia="Calibri" w:hAnsi="Calibri"/>
                <w:b w:val="false"/>
                <w:bCs w:val="false"/>
                <w:color w:val="000000"/>
                <w:sz w:val="18"/>
                <w:szCs w:val="18"/>
              </w:rPr>
              <w:t xml:space="preserve">Underwriter receives score and SHAP drivers without narration and proceeds manually. Degraded, not stopped</w:t>
            </w:r>
          </w:p>
        </w:tc>
        <w:tc>
          <w:tcPr>
            <w:tcW w:type="dxa" w:w="1400"/>
            <w:shd w:fill="FFFFFF" w:val="clear"/>
            <w:tcMar>
              <w:top w:type="dxa" w:w="70"/>
              <w:left w:type="dxa" w:w="90"/>
              <w:bottom w:type="dxa" w:w="70"/>
              <w:right w:type="dxa" w:w="90"/>
            </w:tcMar>
            <w:vAlign w:val="center"/>
          </w:tcPr>
          <w:p>
            <w:r>
              <w:rPr>
                <w:rFonts w:ascii="Calibri" w:cs="Calibri" w:eastAsia="Calibri" w:hAnsi="Calibri"/>
                <w:b w:val="false"/>
                <w:bCs w:val="false"/>
                <w:color w:val="000000"/>
                <w:sz w:val="18"/>
                <w:szCs w:val="18"/>
              </w:rPr>
              <w:t xml:space="preserve">Breaker closes on manual confirmation only, never on a transient signal</w:t>
            </w:r>
          </w:p>
        </w:tc>
      </w:tr>
      <w:tr>
        <w:tc>
          <w:tcPr>
            <w:tcW w:type="dxa" w:w="1900"/>
            <w:shd w:fill="F2F2F2" w:val="clear"/>
            <w:tcMar>
              <w:top w:type="dxa" w:w="70"/>
              <w:left w:type="dxa" w:w="90"/>
              <w:bottom w:type="dxa" w:w="70"/>
              <w:right w:type="dxa" w:w="90"/>
            </w:tcMar>
            <w:vAlign w:val="center"/>
          </w:tcPr>
          <w:p>
            <w:r>
              <w:rPr>
                <w:rFonts w:ascii="Calibri" w:cs="Calibri" w:eastAsia="Calibri" w:hAnsi="Calibri"/>
                <w:b w:val="false"/>
                <w:bCs w:val="false"/>
                <w:color w:val="000000"/>
                <w:sz w:val="18"/>
                <w:szCs w:val="18"/>
              </w:rPr>
              <w:t xml:space="preserve">Grounding scores degrade below floor across a window</w:t>
            </w:r>
          </w:p>
        </w:tc>
        <w:tc>
          <w:tcPr>
            <w:tcW w:type="dxa" w:w="1700"/>
            <w:shd w:fill="F2F2F2" w:val="clear"/>
            <w:tcMar>
              <w:top w:type="dxa" w:w="70"/>
              <w:left w:type="dxa" w:w="90"/>
              <w:bottom w:type="dxa" w:w="70"/>
              <w:right w:type="dxa" w:w="90"/>
            </w:tcMar>
            <w:vAlign w:val="center"/>
          </w:tcPr>
          <w:p>
            <w:r>
              <w:rPr>
                <w:rFonts w:ascii="Calibri" w:cs="Calibri" w:eastAsia="Calibri" w:hAnsi="Calibri"/>
                <w:b w:val="false"/>
                <w:bCs w:val="false"/>
                <w:color w:val="000000"/>
                <w:sz w:val="18"/>
                <w:szCs w:val="18"/>
              </w:rPr>
              <w:t xml:space="preserve">Grounding block rate threshold breached</w:t>
            </w:r>
          </w:p>
        </w:tc>
        <w:tc>
          <w:tcPr>
            <w:tcW w:type="dxa" w:w="2500"/>
            <w:shd w:fill="F2F2F2" w:val="clear"/>
            <w:tcMar>
              <w:top w:type="dxa" w:w="70"/>
              <w:left w:type="dxa" w:w="90"/>
              <w:bottom w:type="dxa" w:w="70"/>
              <w:right w:type="dxa" w:w="90"/>
            </w:tcMar>
            <w:vAlign w:val="center"/>
          </w:tcPr>
          <w:p>
            <w:r>
              <w:rPr>
                <w:rFonts w:ascii="Calibri" w:cs="Calibri" w:eastAsia="Calibri" w:hAnsi="Calibri"/>
                <w:b w:val="false"/>
                <w:bCs w:val="false"/>
                <w:color w:val="000000"/>
                <w:sz w:val="18"/>
                <w:szCs w:val="18"/>
              </w:rPr>
              <w:t xml:space="preserve">Narration suppressed across all traffic</w:t>
            </w:r>
          </w:p>
        </w:tc>
        <w:tc>
          <w:tcPr>
            <w:tcW w:type="dxa" w:w="2000"/>
            <w:shd w:fill="F2F2F2" w:val="clear"/>
            <w:tcMar>
              <w:top w:type="dxa" w:w="70"/>
              <w:left w:type="dxa" w:w="90"/>
              <w:bottom w:type="dxa" w:w="70"/>
              <w:right w:type="dxa" w:w="90"/>
            </w:tcMar>
            <w:vAlign w:val="center"/>
          </w:tcPr>
          <w:p>
            <w:r>
              <w:rPr>
                <w:rFonts w:ascii="Calibri" w:cs="Calibri" w:eastAsia="Calibri" w:hAnsi="Calibri"/>
                <w:b w:val="false"/>
                <w:bCs w:val="false"/>
                <w:color w:val="000000"/>
                <w:sz w:val="18"/>
                <w:szCs w:val="18"/>
              </w:rPr>
              <w:t xml:space="preserve">As above. The scoring layer is unaffected so decisions continue</w:t>
            </w:r>
          </w:p>
        </w:tc>
        <w:tc>
          <w:tcPr>
            <w:tcW w:type="dxa" w:w="1400"/>
            <w:shd w:fill="F2F2F2" w:val="clear"/>
            <w:tcMar>
              <w:top w:type="dxa" w:w="70"/>
              <w:left w:type="dxa" w:w="90"/>
              <w:bottom w:type="dxa" w:w="70"/>
              <w:right w:type="dxa" w:w="90"/>
            </w:tcMar>
            <w:vAlign w:val="center"/>
          </w:tcPr>
          <w:p>
            <w:r>
              <w:rPr>
                <w:rFonts w:ascii="Calibri" w:cs="Calibri" w:eastAsia="Calibri" w:hAnsi="Calibri"/>
                <w:b w:val="false"/>
                <w:bCs w:val="false"/>
                <w:color w:val="000000"/>
                <w:sz w:val="18"/>
                <w:szCs w:val="18"/>
              </w:rPr>
              <w:t xml:space="preserve">Corpus coverage review before narration is restored</w:t>
            </w:r>
          </w:p>
        </w:tc>
      </w:tr>
      <w:tr>
        <w:tc>
          <w:tcPr>
            <w:tcW w:type="dxa" w:w="1900"/>
            <w:shd w:fill="FFFFFF" w:val="clear"/>
            <w:tcMar>
              <w:top w:type="dxa" w:w="70"/>
              <w:left w:type="dxa" w:w="90"/>
              <w:bottom w:type="dxa" w:w="70"/>
              <w:right w:type="dxa" w:w="90"/>
            </w:tcMar>
            <w:vAlign w:val="center"/>
          </w:tcPr>
          <w:p>
            <w:r>
              <w:rPr>
                <w:rFonts w:ascii="Calibri" w:cs="Calibri" w:eastAsia="Calibri" w:hAnsi="Calibri"/>
                <w:b w:val="false"/>
                <w:bCs w:val="false"/>
                <w:color w:val="000000"/>
                <w:sz w:val="18"/>
                <w:szCs w:val="18"/>
              </w:rPr>
              <w:t xml:space="preserve">Vector store unavailable</w:t>
            </w:r>
          </w:p>
        </w:tc>
        <w:tc>
          <w:tcPr>
            <w:tcW w:type="dxa" w:w="1700"/>
            <w:shd w:fill="FFFFFF" w:val="clear"/>
            <w:tcMar>
              <w:top w:type="dxa" w:w="70"/>
              <w:left w:type="dxa" w:w="90"/>
              <w:bottom w:type="dxa" w:w="70"/>
              <w:right w:type="dxa" w:w="90"/>
            </w:tcMar>
            <w:vAlign w:val="center"/>
          </w:tcPr>
          <w:p>
            <w:r>
              <w:rPr>
                <w:rFonts w:ascii="Calibri" w:cs="Calibri" w:eastAsia="Calibri" w:hAnsi="Calibri"/>
                <w:b w:val="false"/>
                <w:bCs w:val="false"/>
                <w:color w:val="000000"/>
                <w:sz w:val="18"/>
                <w:szCs w:val="18"/>
              </w:rPr>
              <w:t xml:space="preserve">Retrieval error rate</w:t>
            </w:r>
          </w:p>
        </w:tc>
        <w:tc>
          <w:tcPr>
            <w:tcW w:type="dxa" w:w="2500"/>
            <w:shd w:fill="FFFFFF" w:val="clear"/>
            <w:tcMar>
              <w:top w:type="dxa" w:w="70"/>
              <w:left w:type="dxa" w:w="90"/>
              <w:bottom w:type="dxa" w:w="70"/>
              <w:right w:type="dxa" w:w="90"/>
            </w:tcMar>
            <w:vAlign w:val="center"/>
          </w:tcPr>
          <w:p>
            <w:r>
              <w:rPr>
                <w:rFonts w:ascii="Calibri" w:cs="Calibri" w:eastAsia="Calibri" w:hAnsi="Calibri"/>
                <w:b w:val="false"/>
                <w:bCs w:val="false"/>
                <w:color w:val="000000"/>
                <w:sz w:val="18"/>
                <w:szCs w:val="18"/>
              </w:rPr>
              <w:t xml:space="preserve">Narration suppressed; breaker opens</w:t>
            </w:r>
          </w:p>
        </w:tc>
        <w:tc>
          <w:tcPr>
            <w:tcW w:type="dxa" w:w="2000"/>
            <w:shd w:fill="FFFFFF" w:val="clear"/>
            <w:tcMar>
              <w:top w:type="dxa" w:w="70"/>
              <w:left w:type="dxa" w:w="90"/>
              <w:bottom w:type="dxa" w:w="70"/>
              <w:right w:type="dxa" w:w="90"/>
            </w:tcMar>
            <w:vAlign w:val="center"/>
          </w:tcPr>
          <w:p>
            <w:r>
              <w:rPr>
                <w:rFonts w:ascii="Calibri" w:cs="Calibri" w:eastAsia="Calibri" w:hAnsi="Calibri"/>
                <w:b w:val="false"/>
                <w:bCs w:val="false"/>
                <w:color w:val="000000"/>
                <w:sz w:val="18"/>
                <w:szCs w:val="18"/>
              </w:rPr>
              <w:t xml:space="preserve">As above</w:t>
            </w:r>
          </w:p>
        </w:tc>
        <w:tc>
          <w:tcPr>
            <w:tcW w:type="dxa" w:w="1400"/>
            <w:shd w:fill="FFFFFF" w:val="clear"/>
            <w:tcMar>
              <w:top w:type="dxa" w:w="70"/>
              <w:left w:type="dxa" w:w="90"/>
              <w:bottom w:type="dxa" w:w="70"/>
              <w:right w:type="dxa" w:w="90"/>
            </w:tcMar>
            <w:vAlign w:val="center"/>
          </w:tcPr>
          <w:p>
            <w:r>
              <w:rPr>
                <w:rFonts w:ascii="Calibri" w:cs="Calibri" w:eastAsia="Calibri" w:hAnsi="Calibri"/>
                <w:b w:val="false"/>
                <w:bCs w:val="false"/>
                <w:color w:val="000000"/>
                <w:sz w:val="18"/>
                <w:szCs w:val="18"/>
              </w:rPr>
              <w:t xml:space="preserve">Index restoration and integrity check against recorded corpus hash</w:t>
            </w:r>
          </w:p>
        </w:tc>
      </w:tr>
      <w:tr>
        <w:tc>
          <w:tcPr>
            <w:tcW w:type="dxa" w:w="1900"/>
            <w:shd w:fill="F2F2F2" w:val="clear"/>
            <w:tcMar>
              <w:top w:type="dxa" w:w="70"/>
              <w:left w:type="dxa" w:w="90"/>
              <w:bottom w:type="dxa" w:w="70"/>
              <w:right w:type="dxa" w:w="90"/>
            </w:tcMar>
            <w:vAlign w:val="center"/>
          </w:tcPr>
          <w:p>
            <w:r>
              <w:rPr>
                <w:rFonts w:ascii="Calibri" w:cs="Calibri" w:eastAsia="Calibri" w:hAnsi="Calibri"/>
                <w:b w:val="false"/>
                <w:bCs w:val="false"/>
                <w:color w:val="000000"/>
                <w:sz w:val="18"/>
                <w:szCs w:val="18"/>
              </w:rPr>
              <w:t xml:space="preserve">Bureau API unavailable</w:t>
            </w:r>
          </w:p>
        </w:tc>
        <w:tc>
          <w:tcPr>
            <w:tcW w:type="dxa" w:w="1700"/>
            <w:shd w:fill="F2F2F2" w:val="clear"/>
            <w:tcMar>
              <w:top w:type="dxa" w:w="70"/>
              <w:left w:type="dxa" w:w="90"/>
              <w:bottom w:type="dxa" w:w="70"/>
              <w:right w:type="dxa" w:w="90"/>
            </w:tcMar>
            <w:vAlign w:val="center"/>
          </w:tcPr>
          <w:p>
            <w:r>
              <w:rPr>
                <w:rFonts w:ascii="Calibri" w:cs="Calibri" w:eastAsia="Calibri" w:hAnsi="Calibri"/>
                <w:b w:val="false"/>
                <w:bCs w:val="false"/>
                <w:color w:val="000000"/>
                <w:sz w:val="18"/>
                <w:szCs w:val="18"/>
              </w:rPr>
              <w:t xml:space="preserve">Health probe; response timeout</w:t>
            </w:r>
          </w:p>
        </w:tc>
        <w:tc>
          <w:tcPr>
            <w:tcW w:type="dxa" w:w="2500"/>
            <w:shd w:fill="F2F2F2" w:val="clear"/>
            <w:tcMar>
              <w:top w:type="dxa" w:w="70"/>
              <w:left w:type="dxa" w:w="90"/>
              <w:bottom w:type="dxa" w:w="70"/>
              <w:right w:type="dxa" w:w="90"/>
            </w:tcMar>
            <w:vAlign w:val="center"/>
          </w:tcPr>
          <w:p>
            <w:r>
              <w:rPr>
                <w:rFonts w:ascii="Calibri" w:cs="Calibri" w:eastAsia="Calibri" w:hAnsi="Calibri"/>
                <w:b w:val="false"/>
                <w:bCs w:val="false"/>
                <w:color w:val="000000"/>
                <w:sz w:val="18"/>
                <w:szCs w:val="18"/>
              </w:rPr>
              <w:t xml:space="preserve">Application held at intake; no partial-data scoring</w:t>
            </w:r>
          </w:p>
        </w:tc>
        <w:tc>
          <w:tcPr>
            <w:tcW w:type="dxa" w:w="2000"/>
            <w:shd w:fill="F2F2F2" w:val="clear"/>
            <w:tcMar>
              <w:top w:type="dxa" w:w="70"/>
              <w:left w:type="dxa" w:w="90"/>
              <w:bottom w:type="dxa" w:w="70"/>
              <w:right w:type="dxa" w:w="90"/>
            </w:tcMar>
            <w:vAlign w:val="center"/>
          </w:tcPr>
          <w:p>
            <w:r>
              <w:rPr>
                <w:rFonts w:ascii="Calibri" w:cs="Calibri" w:eastAsia="Calibri" w:hAnsi="Calibri"/>
                <w:b w:val="false"/>
                <w:bCs w:val="false"/>
                <w:color w:val="000000"/>
                <w:sz w:val="18"/>
                <w:szCs w:val="18"/>
              </w:rPr>
              <w:t xml:space="preserve">Held, not scored on incomplete input</w:t>
            </w:r>
          </w:p>
        </w:tc>
        <w:tc>
          <w:tcPr>
            <w:tcW w:type="dxa" w:w="1400"/>
            <w:shd w:fill="F2F2F2" w:val="clear"/>
            <w:tcMar>
              <w:top w:type="dxa" w:w="70"/>
              <w:left w:type="dxa" w:w="90"/>
              <w:bottom w:type="dxa" w:w="70"/>
              <w:right w:type="dxa" w:w="90"/>
            </w:tcMar>
            <w:vAlign w:val="center"/>
          </w:tcPr>
          <w:p>
            <w:r>
              <w:rPr>
                <w:rFonts w:ascii="Calibri" w:cs="Calibri" w:eastAsia="Calibri" w:hAnsi="Calibri"/>
                <w:b w:val="false"/>
                <w:bCs w:val="false"/>
                <w:color w:val="000000"/>
                <w:sz w:val="18"/>
                <w:szCs w:val="18"/>
              </w:rPr>
              <w:t xml:space="preserve">Bureau restoration, then normal processing</w:t>
            </w:r>
          </w:p>
        </w:tc>
      </w:tr>
      <w:tr>
        <w:tc>
          <w:tcPr>
            <w:tcW w:type="dxa" w:w="1900"/>
            <w:shd w:fill="FFFFFF" w:val="clear"/>
            <w:tcMar>
              <w:top w:type="dxa" w:w="70"/>
              <w:left w:type="dxa" w:w="90"/>
              <w:bottom w:type="dxa" w:w="70"/>
              <w:right w:type="dxa" w:w="90"/>
            </w:tcMar>
            <w:vAlign w:val="center"/>
          </w:tcPr>
          <w:p>
            <w:r>
              <w:rPr>
                <w:rFonts w:ascii="Calibri" w:cs="Calibri" w:eastAsia="Calibri" w:hAnsi="Calibri"/>
                <w:b w:val="false"/>
                <w:bCs w:val="false"/>
                <w:color w:val="000000"/>
                <w:sz w:val="18"/>
                <w:szCs w:val="18"/>
              </w:rPr>
              <w:t xml:space="preserve">Scoring engine unavailable</w:t>
            </w:r>
          </w:p>
        </w:tc>
        <w:tc>
          <w:tcPr>
            <w:tcW w:type="dxa" w:w="1700"/>
            <w:shd w:fill="FFFFFF" w:val="clear"/>
            <w:tcMar>
              <w:top w:type="dxa" w:w="70"/>
              <w:left w:type="dxa" w:w="90"/>
              <w:bottom w:type="dxa" w:w="70"/>
              <w:right w:type="dxa" w:w="90"/>
            </w:tcMar>
            <w:vAlign w:val="center"/>
          </w:tcPr>
          <w:p>
            <w:r>
              <w:rPr>
                <w:rFonts w:ascii="Calibri" w:cs="Calibri" w:eastAsia="Calibri" w:hAnsi="Calibri"/>
                <w:b w:val="false"/>
                <w:bCs w:val="false"/>
                <w:color w:val="000000"/>
                <w:sz w:val="18"/>
                <w:szCs w:val="18"/>
              </w:rPr>
              <w:t xml:space="preserve">Health probe</w:t>
            </w:r>
          </w:p>
        </w:tc>
        <w:tc>
          <w:tcPr>
            <w:tcW w:type="dxa" w:w="2500"/>
            <w:shd w:fill="FFFFFF" w:val="clear"/>
            <w:tcMar>
              <w:top w:type="dxa" w:w="70"/>
              <w:left w:type="dxa" w:w="90"/>
              <w:bottom w:type="dxa" w:w="70"/>
              <w:right w:type="dxa" w:w="90"/>
            </w:tcMar>
            <w:vAlign w:val="center"/>
          </w:tcPr>
          <w:p>
            <w:r>
              <w:rPr>
                <w:rFonts w:ascii="Calibri" w:cs="Calibri" w:eastAsia="Calibri" w:hAnsi="Calibri"/>
                <w:b w:val="false"/>
                <w:bCs w:val="false"/>
                <w:color w:val="000000"/>
                <w:sz w:val="18"/>
                <w:szCs w:val="18"/>
              </w:rPr>
              <w:t xml:space="preserve">Full fallback to manual underwriting</w:t>
            </w:r>
          </w:p>
        </w:tc>
        <w:tc>
          <w:tcPr>
            <w:tcW w:type="dxa" w:w="2000"/>
            <w:shd w:fill="FFFFFF" w:val="clear"/>
            <w:tcMar>
              <w:top w:type="dxa" w:w="70"/>
              <w:left w:type="dxa" w:w="90"/>
              <w:bottom w:type="dxa" w:w="70"/>
              <w:right w:type="dxa" w:w="90"/>
            </w:tcMar>
            <w:vAlign w:val="center"/>
          </w:tcPr>
          <w:p>
            <w:r>
              <w:rPr>
                <w:rFonts w:ascii="Calibri" w:cs="Calibri" w:eastAsia="Calibri" w:hAnsi="Calibri"/>
                <w:b w:val="false"/>
                <w:bCs w:val="false"/>
                <w:color w:val="000000"/>
                <w:sz w:val="18"/>
                <w:szCs w:val="18"/>
              </w:rPr>
              <w:t xml:space="preserve">Pre-existing manual process, unchanged</w:t>
            </w:r>
          </w:p>
        </w:tc>
        <w:tc>
          <w:tcPr>
            <w:tcW w:type="dxa" w:w="1400"/>
            <w:shd w:fill="FFFFFF" w:val="clear"/>
            <w:tcMar>
              <w:top w:type="dxa" w:w="70"/>
              <w:left w:type="dxa" w:w="90"/>
              <w:bottom w:type="dxa" w:w="70"/>
              <w:right w:type="dxa" w:w="90"/>
            </w:tcMar>
            <w:vAlign w:val="center"/>
          </w:tcPr>
          <w:p>
            <w:r>
              <w:rPr>
                <w:rFonts w:ascii="Calibri" w:cs="Calibri" w:eastAsia="Calibri" w:hAnsi="Calibri"/>
                <w:b w:val="false"/>
                <w:bCs w:val="false"/>
                <w:color w:val="000000"/>
                <w:sz w:val="18"/>
                <w:szCs w:val="18"/>
              </w:rPr>
              <w:t xml:space="preserve">Model restoration under change control</w:t>
            </w:r>
          </w:p>
        </w:tc>
      </w:tr>
      <w:tr>
        <w:tc>
          <w:tcPr>
            <w:tcW w:type="dxa" w:w="1900"/>
            <w:shd w:fill="F2F2F2" w:val="clear"/>
            <w:tcMar>
              <w:top w:type="dxa" w:w="70"/>
              <w:left w:type="dxa" w:w="90"/>
              <w:bottom w:type="dxa" w:w="70"/>
              <w:right w:type="dxa" w:w="90"/>
            </w:tcMar>
            <w:vAlign w:val="center"/>
          </w:tcPr>
          <w:p>
            <w:r>
              <w:rPr>
                <w:rFonts w:ascii="Calibri" w:cs="Calibri" w:eastAsia="Calibri" w:hAnsi="Calibri"/>
                <w:b w:val="false"/>
                <w:bCs w:val="false"/>
                <w:color w:val="000000"/>
                <w:sz w:val="18"/>
                <w:szCs w:val="18"/>
              </w:rPr>
              <w:t xml:space="preserve">Confirmed control failure or discriminatory outcome</w:t>
            </w:r>
          </w:p>
        </w:tc>
        <w:tc>
          <w:tcPr>
            <w:tcW w:type="dxa" w:w="1700"/>
            <w:shd w:fill="F2F2F2" w:val="clear"/>
            <w:tcMar>
              <w:top w:type="dxa" w:w="70"/>
              <w:left w:type="dxa" w:w="90"/>
              <w:bottom w:type="dxa" w:w="70"/>
              <w:right w:type="dxa" w:w="90"/>
            </w:tcMar>
            <w:vAlign w:val="center"/>
          </w:tcPr>
          <w:p>
            <w:r>
              <w:rPr>
                <w:rFonts w:ascii="Calibri" w:cs="Calibri" w:eastAsia="Calibri" w:hAnsi="Calibri"/>
                <w:b w:val="false"/>
                <w:bCs w:val="false"/>
                <w:color w:val="000000"/>
                <w:sz w:val="18"/>
                <w:szCs w:val="18"/>
              </w:rPr>
              <w:t xml:space="preserve">Alarm or manual detection</w:t>
            </w:r>
          </w:p>
        </w:tc>
        <w:tc>
          <w:tcPr>
            <w:tcW w:type="dxa" w:w="2500"/>
            <w:shd w:fill="F2F2F2" w:val="clear"/>
            <w:tcMar>
              <w:top w:type="dxa" w:w="70"/>
              <w:left w:type="dxa" w:w="90"/>
              <w:bottom w:type="dxa" w:w="70"/>
              <w:right w:type="dxa" w:w="90"/>
            </w:tcMar>
            <w:vAlign w:val="center"/>
          </w:tcPr>
          <w:p>
            <w:r>
              <w:rPr>
                <w:rFonts w:ascii="Calibri" w:cs="Calibri" w:eastAsia="Calibri" w:hAnsi="Calibri"/>
                <w:b w:val="false"/>
                <w:bCs w:val="false"/>
                <w:color w:val="000000"/>
                <w:sz w:val="18"/>
                <w:szCs w:val="18"/>
              </w:rPr>
              <w:t xml:space="preserve">Immediate suspension at the permission layer by the named operational role</w:t>
            </w:r>
          </w:p>
        </w:tc>
        <w:tc>
          <w:tcPr>
            <w:tcW w:type="dxa" w:w="2000"/>
            <w:shd w:fill="F2F2F2" w:val="clear"/>
            <w:tcMar>
              <w:top w:type="dxa" w:w="70"/>
              <w:left w:type="dxa" w:w="90"/>
              <w:bottom w:type="dxa" w:w="70"/>
              <w:right w:type="dxa" w:w="90"/>
            </w:tcMar>
            <w:vAlign w:val="center"/>
          </w:tcPr>
          <w:p>
            <w:r>
              <w:rPr>
                <w:rFonts w:ascii="Calibri" w:cs="Calibri" w:eastAsia="Calibri" w:hAnsi="Calibri"/>
                <w:b w:val="false"/>
                <w:bCs w:val="false"/>
                <w:color w:val="000000"/>
                <w:sz w:val="18"/>
                <w:szCs w:val="18"/>
              </w:rPr>
              <w:t xml:space="preserve">Manual underwriting</w:t>
            </w:r>
          </w:p>
        </w:tc>
        <w:tc>
          <w:tcPr>
            <w:tcW w:type="dxa" w:w="1400"/>
            <w:shd w:fill="F2F2F2" w:val="clear"/>
            <w:tcMar>
              <w:top w:type="dxa" w:w="70"/>
              <w:left w:type="dxa" w:w="90"/>
              <w:bottom w:type="dxa" w:w="70"/>
              <w:right w:type="dxa" w:w="90"/>
            </w:tcMar>
            <w:vAlign w:val="center"/>
          </w:tcPr>
          <w:p>
            <w:r>
              <w:rPr>
                <w:rFonts w:ascii="Calibri" w:cs="Calibri" w:eastAsia="Calibri" w:hAnsi="Calibri"/>
                <w:b w:val="false"/>
                <w:bCs w:val="false"/>
                <w:color w:val="000000"/>
                <w:sz w:val="18"/>
                <w:szCs w:val="18"/>
              </w:rPr>
              <w:t xml:space="preserve">Committee review within 24 hours; see A-34</w:t>
            </w:r>
          </w:p>
        </w:tc>
      </w:tr>
    </w:tbl>
    <w:p>
      <w:pPr>
        <w:pStyle w:val="Heading1"/>
        <w:spacing w:after="160" w:before="320"/>
      </w:pPr>
      <w:r>
        <w:rPr>
          <w:b/>
          <w:bCs/>
          <w:color w:val="1F3864"/>
          <w:sz w:val="30"/>
          <w:szCs w:val="30"/>
        </w:rPr>
        <w:t xml:space="preserve">3. The dependency that resilience rests on</w:t>
      </w:r>
    </w:p>
    <w:p>
      <w:pPr>
        <w:spacing w:after="160" w:line="276"/>
      </w:pPr>
      <w:r>
        <w:rPr>
          <w:rFonts w:ascii="Calibri" w:cs="Calibri" w:eastAsia="Calibri" w:hAnsi="Calibri"/>
          <w:b w:val="false"/>
          <w:bCs w:val="false"/>
          <w:i w:val="false"/>
          <w:iCs w:val="false"/>
          <w:sz w:val="21"/>
          <w:szCs w:val="21"/>
        </w:rPr>
        <w:t xml:space="preserve">The fallback position is only credible while the manual underwriting capability remains genuinely operable at the volumes it would have to absorb. That is a resourcing and competency dependency, not a technical one, and it degrades silently.</w:t>
      </w:r>
    </w:p>
    <w:p>
      <w:pPr>
        <w:pStyle w:val="ListParagraph"/>
        <w:numPr>
          <w:ilvl w:val="0"/>
          <w:numId w:val="2"/>
        </w:numPr>
        <w:spacing w:after="90"/>
      </w:pPr>
      <w:r>
        <w:rPr>
          <w:rFonts w:ascii="Calibri" w:cs="Calibri" w:eastAsia="Calibri" w:hAnsi="Calibri"/>
          <w:b/>
          <w:bCs/>
          <w:sz w:val="21"/>
          <w:szCs w:val="21"/>
        </w:rPr>
        <w:t xml:space="preserve">Bounded pilot protects it. </w:t>
      </w:r>
      <w:r>
        <w:rPr>
          <w:rFonts w:ascii="Calibri" w:cs="Calibri" w:eastAsia="Calibri" w:hAnsi="Calibri"/>
          <w:sz w:val="21"/>
          <w:szCs w:val="21"/>
        </w:rPr>
        <w:t xml:space="preserve">At 500 applications the manual process continues to operate at near-normal volume and its capability does not atrophy. This is one of the reasons the pilot boundary is a governance condition rather than a delivery preference.</w:t>
      </w:r>
    </w:p>
    <w:p>
      <w:pPr>
        <w:pStyle w:val="ListParagraph"/>
        <w:numPr>
          <w:ilvl w:val="0"/>
          <w:numId w:val="2"/>
        </w:numPr>
        <w:spacing w:after="90"/>
      </w:pPr>
      <w:r>
        <w:rPr>
          <w:rFonts w:ascii="Calibri" w:cs="Calibri" w:eastAsia="Calibri" w:hAnsi="Calibri"/>
          <w:b/>
          <w:bCs/>
          <w:sz w:val="21"/>
          <w:szCs w:val="21"/>
        </w:rPr>
        <w:t xml:space="preserve">Full rollout changes the position materially. </w:t>
      </w:r>
      <w:r>
        <w:rPr>
          <w:rFonts w:ascii="Calibri" w:cs="Calibri" w:eastAsia="Calibri" w:hAnsi="Calibri"/>
          <w:sz w:val="21"/>
          <w:szCs w:val="21"/>
        </w:rPr>
        <w:t xml:space="preserve">A rollout that shifts the majority of volume to the assisted path will, over time, reduce the number of underwriters who have recently exercised unaided judgement at pace. The playbook's fallback assumption would then be carrying an untested load.</w:t>
      </w:r>
    </w:p>
    <w:p>
      <w:pPr>
        <w:pStyle w:val="ListParagraph"/>
        <w:numPr>
          <w:ilvl w:val="0"/>
          <w:numId w:val="2"/>
        </w:numPr>
        <w:spacing w:after="90"/>
      </w:pPr>
      <w:r>
        <w:rPr>
          <w:rFonts w:ascii="Calibri" w:cs="Calibri" w:eastAsia="Calibri" w:hAnsi="Calibri"/>
          <w:b/>
          <w:bCs/>
          <w:sz w:val="21"/>
          <w:szCs w:val="21"/>
        </w:rPr>
        <w:t xml:space="preserve">Recorded as a condition on the rollout decision. </w:t>
      </w:r>
      <w:r>
        <w:rPr>
          <w:rFonts w:ascii="Calibri" w:cs="Calibri" w:eastAsia="Calibri" w:hAnsi="Calibri"/>
          <w:sz w:val="21"/>
          <w:szCs w:val="21"/>
        </w:rPr>
        <w:t xml:space="preserve">Any proposal to extend beyond the pilot must state how manual capability will be maintained and evidenced — periodic unaided-volume exercises are the expected mechanism. This condition is registered against the rollout decision in A-28.</w:t>
      </w:r>
    </w:p>
    <w:p>
      <w:pPr>
        <w:pBdr>
          <w:left w:val="single" w:color="BF8F00" w:sz="18" w:space="8"/>
        </w:pBdr>
        <w:shd w:fill="FFF2CC" w:val="clear"/>
        <w:spacing w:after="200" w:before="80"/>
        <w:ind w:left="200"/>
      </w:pPr>
      <w:r>
        <w:rPr>
          <w:rFonts w:ascii="Calibri" w:cs="Calibri" w:eastAsia="Calibri" w:hAnsi="Calibri"/>
          <w:i/>
          <w:iCs/>
          <w:color w:val="7F6000"/>
          <w:sz w:val="20"/>
          <w:szCs w:val="20"/>
        </w:rPr>
        <w:t xml:space="preserve">⚠  This is the resilience finding most likely to be missed, because it does not appear in any monitoring metric. Nothing in the observability stack degrades when underwriters become less practised at working without the assistant. It is a people dependency inside a technology continuity plan, and it is why the continuity position is reassessed at the rollout gate rather than assumed to carry forward.</w:t>
      </w:r>
    </w:p>
    <w:p>
      <w:pPr>
        <w:pStyle w:val="Heading1"/>
        <w:spacing w:after="160" w:before="320"/>
      </w:pPr>
      <w:r>
        <w:rPr>
          <w:b/>
          <w:bCs/>
          <w:color w:val="1F3864"/>
          <w:sz w:val="30"/>
          <w:szCs w:val="30"/>
        </w:rPr>
        <w:t xml:space="preserve">4. Recovery objectives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2600"/>
            <w:shd w:fill="1F3864" w:val="clear"/>
            <w:tcMar>
              <w:top w:type="dxa" w:w="70"/>
              <w:left w:type="dxa" w:w="90"/>
              <w:bottom w:type="dxa" w:w="70"/>
              <w:right w:type="dxa" w:w="90"/>
            </w:tcMar>
            <w:vAlign w:val="center"/>
          </w:tcPr>
          <w:p>
            <w:r>
              <w:rPr>
                <w:rFonts w:ascii="Calibri" w:cs="Calibri" w:eastAsia="Calibri" w:hAnsi="Calibri"/>
                <w:b/>
                <w:bCs/>
                <w:color w:val="FFFFFF"/>
                <w:sz w:val="18"/>
                <w:szCs w:val="18"/>
              </w:rPr>
              <w:t xml:space="preserve">Service</w:t>
            </w:r>
          </w:p>
        </w:tc>
        <w:tc>
          <w:tcPr>
            <w:tcW w:type="dxa" w:w="1700"/>
            <w:shd w:fill="1F3864" w:val="clear"/>
            <w:tcMar>
              <w:top w:type="dxa" w:w="70"/>
              <w:left w:type="dxa" w:w="90"/>
              <w:bottom w:type="dxa" w:w="70"/>
              <w:right w:type="dxa" w:w="90"/>
            </w:tcMar>
            <w:vAlign w:val="center"/>
          </w:tcPr>
          <w:p>
            <w:r>
              <w:rPr>
                <w:rFonts w:ascii="Calibri" w:cs="Calibri" w:eastAsia="Calibri" w:hAnsi="Calibri"/>
                <w:b/>
                <w:bCs/>
                <w:color w:val="FFFFFF"/>
                <w:sz w:val="18"/>
                <w:szCs w:val="18"/>
              </w:rPr>
              <w:t xml:space="preserve">RTO</w:t>
            </w:r>
          </w:p>
        </w:tc>
        <w:tc>
          <w:tcPr>
            <w:tcW w:type="dxa" w:w="2400"/>
            <w:shd w:fill="1F3864" w:val="clear"/>
            <w:tcMar>
              <w:top w:type="dxa" w:w="70"/>
              <w:left w:type="dxa" w:w="90"/>
              <w:bottom w:type="dxa" w:w="70"/>
              <w:right w:type="dxa" w:w="90"/>
            </w:tcMar>
            <w:vAlign w:val="center"/>
          </w:tcPr>
          <w:p>
            <w:r>
              <w:rPr>
                <w:rFonts w:ascii="Calibri" w:cs="Calibri" w:eastAsia="Calibri" w:hAnsi="Calibri"/>
                <w:b/>
                <w:bCs/>
                <w:color w:val="FFFFFF"/>
                <w:sz w:val="18"/>
                <w:szCs w:val="18"/>
              </w:rPr>
              <w:t xml:space="preserve">RPO</w:t>
            </w:r>
          </w:p>
        </w:tc>
        <w:tc>
          <w:tcPr>
            <w:tcW w:type="dxa" w:w="2800"/>
            <w:shd w:fill="1F3864" w:val="clear"/>
            <w:tcMar>
              <w:top w:type="dxa" w:w="70"/>
              <w:left w:type="dxa" w:w="90"/>
              <w:bottom w:type="dxa" w:w="70"/>
              <w:right w:type="dxa" w:w="90"/>
            </w:tcMar>
            <w:vAlign w:val="center"/>
          </w:tcPr>
          <w:p>
            <w:r>
              <w:rPr>
                <w:rFonts w:ascii="Calibri" w:cs="Calibri" w:eastAsia="Calibri" w:hAnsi="Calibri"/>
                <w:b/>
                <w:bCs/>
                <w:color w:val="FFFFFF"/>
                <w:sz w:val="18"/>
                <w:szCs w:val="18"/>
              </w:rPr>
              <w:t xml:space="preserve">Basis</w:t>
            </w:r>
          </w:p>
        </w:tc>
      </w:tr>
      <w:tr>
        <w:tc>
          <w:tcPr>
            <w:tcW w:type="dxa" w:w="2600"/>
            <w:shd w:fill="FFFFFF" w:val="clear"/>
            <w:tcMar>
              <w:top w:type="dxa" w:w="70"/>
              <w:left w:type="dxa" w:w="90"/>
              <w:bottom w:type="dxa" w:w="70"/>
              <w:right w:type="dxa" w:w="90"/>
            </w:tcMar>
            <w:vAlign w:val="center"/>
          </w:tcPr>
          <w:p>
            <w:r>
              <w:rPr>
                <w:rFonts w:ascii="Calibri" w:cs="Calibri" w:eastAsia="Calibri" w:hAnsi="Calibri"/>
                <w:b w:val="false"/>
                <w:bCs w:val="false"/>
                <w:color w:val="000000"/>
                <w:sz w:val="18"/>
                <w:szCs w:val="18"/>
              </w:rPr>
              <w:t xml:space="preserve">Credit decisioning (manual)</w:t>
            </w:r>
          </w:p>
        </w:tc>
        <w:tc>
          <w:tcPr>
            <w:tcW w:type="dxa" w:w="1700"/>
            <w:shd w:fill="FFFFFF" w:val="clear"/>
            <w:tcMar>
              <w:top w:type="dxa" w:w="70"/>
              <w:left w:type="dxa" w:w="90"/>
              <w:bottom w:type="dxa" w:w="70"/>
              <w:right w:type="dxa" w:w="90"/>
            </w:tcMar>
            <w:vAlign w:val="center"/>
          </w:tcPr>
          <w:p>
            <w:r>
              <w:rPr>
                <w:rFonts w:ascii="Calibri" w:cs="Calibri" w:eastAsia="Calibri" w:hAnsi="Calibri"/>
                <w:b w:val="false"/>
                <w:bCs w:val="false"/>
                <w:color w:val="000000"/>
                <w:sz w:val="18"/>
                <w:szCs w:val="18"/>
              </w:rPr>
              <w:t xml:space="preserve">Immediate — the process is continuously available</w:t>
            </w:r>
          </w:p>
        </w:tc>
        <w:tc>
          <w:tcPr>
            <w:tcW w:type="dxa" w:w="2400"/>
            <w:shd w:fill="FFFFFF" w:val="clear"/>
            <w:tcMar>
              <w:top w:type="dxa" w:w="70"/>
              <w:left w:type="dxa" w:w="90"/>
              <w:bottom w:type="dxa" w:w="70"/>
              <w:right w:type="dxa" w:w="90"/>
            </w:tcMar>
            <w:vAlign w:val="center"/>
          </w:tcPr>
          <w:p>
            <w:r>
              <w:rPr>
                <w:rFonts w:ascii="Calibri" w:cs="Calibri" w:eastAsia="Calibri" w:hAnsi="Calibri"/>
                <w:b w:val="false"/>
                <w:bCs w:val="false"/>
                <w:color w:val="000000"/>
                <w:sz w:val="18"/>
                <w:szCs w:val="18"/>
              </w:rPr>
              <w:t xml:space="preserve">N/A</w:t>
            </w:r>
          </w:p>
        </w:tc>
        <w:tc>
          <w:tcPr>
            <w:tcW w:type="dxa" w:w="2800"/>
            <w:shd w:fill="FFFFFF" w:val="clear"/>
            <w:tcMar>
              <w:top w:type="dxa" w:w="70"/>
              <w:left w:type="dxa" w:w="90"/>
              <w:bottom w:type="dxa" w:w="70"/>
              <w:right w:type="dxa" w:w="90"/>
            </w:tcMar>
            <w:vAlign w:val="center"/>
          </w:tcPr>
          <w:p>
            <w:r>
              <w:rPr>
                <w:rFonts w:ascii="Calibri" w:cs="Calibri" w:eastAsia="Calibri" w:hAnsi="Calibri"/>
                <w:b w:val="false"/>
                <w:bCs w:val="false"/>
                <w:color w:val="000000"/>
                <w:sz w:val="18"/>
                <w:szCs w:val="18"/>
              </w:rPr>
              <w:t xml:space="preserve">Pre-existing process. Never dependent on the AI system</w:t>
            </w:r>
          </w:p>
        </w:tc>
      </w:tr>
      <w:tr>
        <w:tc>
          <w:tcPr>
            <w:tcW w:type="dxa" w:w="2600"/>
            <w:shd w:fill="F2F2F2" w:val="clear"/>
            <w:tcMar>
              <w:top w:type="dxa" w:w="70"/>
              <w:left w:type="dxa" w:w="90"/>
              <w:bottom w:type="dxa" w:w="70"/>
              <w:right w:type="dxa" w:w="90"/>
            </w:tcMar>
            <w:vAlign w:val="center"/>
          </w:tcPr>
          <w:p>
            <w:r>
              <w:rPr>
                <w:rFonts w:ascii="Calibri" w:cs="Calibri" w:eastAsia="Calibri" w:hAnsi="Calibri"/>
                <w:b w:val="false"/>
                <w:bCs w:val="false"/>
                <w:color w:val="000000"/>
                <w:sz w:val="18"/>
                <w:szCs w:val="18"/>
              </w:rPr>
              <w:t xml:space="preserve">Scoring layer</w:t>
            </w:r>
          </w:p>
        </w:tc>
        <w:tc>
          <w:tcPr>
            <w:tcW w:type="dxa" w:w="1700"/>
            <w:shd w:fill="F2F2F2" w:val="clear"/>
            <w:tcMar>
              <w:top w:type="dxa" w:w="70"/>
              <w:left w:type="dxa" w:w="90"/>
              <w:bottom w:type="dxa" w:w="70"/>
              <w:right w:type="dxa" w:w="90"/>
            </w:tcMar>
            <w:vAlign w:val="center"/>
          </w:tcPr>
          <w:p>
            <w:r>
              <w:rPr>
                <w:rFonts w:ascii="Calibri" w:cs="Calibri" w:eastAsia="Calibri" w:hAnsi="Calibri"/>
                <w:b w:val="false"/>
                <w:bCs w:val="false"/>
                <w:color w:val="000000"/>
                <w:sz w:val="18"/>
                <w:szCs w:val="18"/>
              </w:rPr>
              <w:t xml:space="preserve">4 hours</w:t>
            </w:r>
          </w:p>
        </w:tc>
        <w:tc>
          <w:tcPr>
            <w:tcW w:type="dxa" w:w="2400"/>
            <w:shd w:fill="F2F2F2" w:val="clear"/>
            <w:tcMar>
              <w:top w:type="dxa" w:w="70"/>
              <w:left w:type="dxa" w:w="90"/>
              <w:bottom w:type="dxa" w:w="70"/>
              <w:right w:type="dxa" w:w="90"/>
            </w:tcMar>
            <w:vAlign w:val="center"/>
          </w:tcPr>
          <w:p>
            <w:r>
              <w:rPr>
                <w:rFonts w:ascii="Calibri" w:cs="Calibri" w:eastAsia="Calibri" w:hAnsi="Calibri"/>
                <w:b w:val="false"/>
                <w:bCs w:val="false"/>
                <w:color w:val="000000"/>
                <w:sz w:val="18"/>
                <w:szCs w:val="18"/>
              </w:rPr>
              <w:t xml:space="preserve">No data loss — scoring is stateless at inference</w:t>
            </w:r>
          </w:p>
        </w:tc>
        <w:tc>
          <w:tcPr>
            <w:tcW w:type="dxa" w:w="2800"/>
            <w:shd w:fill="F2F2F2" w:val="clear"/>
            <w:tcMar>
              <w:top w:type="dxa" w:w="70"/>
              <w:left w:type="dxa" w:w="90"/>
              <w:bottom w:type="dxa" w:w="70"/>
              <w:right w:type="dxa" w:w="90"/>
            </w:tcMar>
            <w:vAlign w:val="center"/>
          </w:tcPr>
          <w:p>
            <w:r>
              <w:rPr>
                <w:rFonts w:ascii="Calibri" w:cs="Calibri" w:eastAsia="Calibri" w:hAnsi="Calibri"/>
                <w:b w:val="false"/>
                <w:bCs w:val="false"/>
                <w:color w:val="000000"/>
                <w:sz w:val="18"/>
                <w:szCs w:val="18"/>
              </w:rPr>
              <w:t xml:space="preserve">Enterprise application tier RTO, unchanged from v3.0</w:t>
            </w:r>
          </w:p>
        </w:tc>
      </w:tr>
      <w:tr>
        <w:tc>
          <w:tcPr>
            <w:tcW w:type="dxa" w:w="2600"/>
            <w:shd w:fill="FFFFFF" w:val="clear"/>
            <w:tcMar>
              <w:top w:type="dxa" w:w="70"/>
              <w:left w:type="dxa" w:w="90"/>
              <w:bottom w:type="dxa" w:w="70"/>
              <w:right w:type="dxa" w:w="90"/>
            </w:tcMar>
            <w:vAlign w:val="center"/>
          </w:tcPr>
          <w:p>
            <w:r>
              <w:rPr>
                <w:rFonts w:ascii="Calibri" w:cs="Calibri" w:eastAsia="Calibri" w:hAnsi="Calibri"/>
                <w:b w:val="false"/>
                <w:bCs w:val="false"/>
                <w:color w:val="000000"/>
                <w:sz w:val="18"/>
                <w:szCs w:val="18"/>
              </w:rPr>
              <w:t xml:space="preserve">Narration layer</w:t>
            </w:r>
          </w:p>
        </w:tc>
        <w:tc>
          <w:tcPr>
            <w:tcW w:type="dxa" w:w="1700"/>
            <w:shd w:fill="FFFFFF" w:val="clear"/>
            <w:tcMar>
              <w:top w:type="dxa" w:w="70"/>
              <w:left w:type="dxa" w:w="90"/>
              <w:bottom w:type="dxa" w:w="70"/>
              <w:right w:type="dxa" w:w="90"/>
            </w:tcMar>
            <w:vAlign w:val="center"/>
          </w:tcPr>
          <w:p>
            <w:r>
              <w:rPr>
                <w:rFonts w:ascii="Calibri" w:cs="Calibri" w:eastAsia="Calibri" w:hAnsi="Calibri"/>
                <w:b w:val="false"/>
                <w:bCs w:val="false"/>
                <w:color w:val="000000"/>
                <w:sz w:val="18"/>
                <w:szCs w:val="18"/>
              </w:rPr>
              <w:t xml:space="preserve">24 hours</w:t>
            </w:r>
          </w:p>
        </w:tc>
        <w:tc>
          <w:tcPr>
            <w:tcW w:type="dxa" w:w="2400"/>
            <w:shd w:fill="FFFFFF" w:val="clear"/>
            <w:tcMar>
              <w:top w:type="dxa" w:w="70"/>
              <w:left w:type="dxa" w:w="90"/>
              <w:bottom w:type="dxa" w:w="70"/>
              <w:right w:type="dxa" w:w="90"/>
            </w:tcMar>
            <w:vAlign w:val="center"/>
          </w:tcPr>
          <w:p>
            <w:r>
              <w:rPr>
                <w:rFonts w:ascii="Calibri" w:cs="Calibri" w:eastAsia="Calibri" w:hAnsi="Calibri"/>
                <w:b w:val="false"/>
                <w:bCs w:val="false"/>
                <w:color w:val="000000"/>
                <w:sz w:val="18"/>
                <w:szCs w:val="18"/>
              </w:rPr>
              <w:t xml:space="preserve">No data loss</w:t>
            </w:r>
          </w:p>
        </w:tc>
        <w:tc>
          <w:tcPr>
            <w:tcW w:type="dxa" w:w="2800"/>
            <w:shd w:fill="FFFFFF" w:val="clear"/>
            <w:tcMar>
              <w:top w:type="dxa" w:w="70"/>
              <w:left w:type="dxa" w:w="90"/>
              <w:bottom w:type="dxa" w:w="70"/>
              <w:right w:type="dxa" w:w="90"/>
            </w:tcMar>
            <w:vAlign w:val="center"/>
          </w:tcPr>
          <w:p>
            <w:r>
              <w:rPr>
                <w:rFonts w:ascii="Calibri" w:cs="Calibri" w:eastAsia="Calibri" w:hAnsi="Calibri"/>
                <w:b w:val="false"/>
                <w:bCs w:val="false"/>
                <w:color w:val="000000"/>
                <w:sz w:val="18"/>
                <w:szCs w:val="18"/>
              </w:rPr>
              <w:t xml:space="preserve">Degraded-service tolerance. Narration is an enhancement, not a dependency</w:t>
            </w:r>
          </w:p>
        </w:tc>
      </w:tr>
      <w:tr>
        <w:tc>
          <w:tcPr>
            <w:tcW w:type="dxa" w:w="2600"/>
            <w:shd w:fill="F2F2F2" w:val="clear"/>
            <w:tcMar>
              <w:top w:type="dxa" w:w="70"/>
              <w:left w:type="dxa" w:w="90"/>
              <w:bottom w:type="dxa" w:w="70"/>
              <w:right w:type="dxa" w:w="90"/>
            </w:tcMar>
            <w:vAlign w:val="center"/>
          </w:tcPr>
          <w:p>
            <w:r>
              <w:rPr>
                <w:rFonts w:ascii="Calibri" w:cs="Calibri" w:eastAsia="Calibri" w:hAnsi="Calibri"/>
                <w:b w:val="false"/>
                <w:bCs w:val="false"/>
                <w:color w:val="000000"/>
                <w:sz w:val="18"/>
                <w:szCs w:val="18"/>
              </w:rPr>
              <w:t xml:space="preserve">Audit and evidence store</w:t>
            </w:r>
          </w:p>
        </w:tc>
        <w:tc>
          <w:tcPr>
            <w:tcW w:type="dxa" w:w="1700"/>
            <w:shd w:fill="F2F2F2" w:val="clear"/>
            <w:tcMar>
              <w:top w:type="dxa" w:w="70"/>
              <w:left w:type="dxa" w:w="90"/>
              <w:bottom w:type="dxa" w:w="70"/>
              <w:right w:type="dxa" w:w="90"/>
            </w:tcMar>
            <w:vAlign w:val="center"/>
          </w:tcPr>
          <w:p>
            <w:r>
              <w:rPr>
                <w:rFonts w:ascii="Calibri" w:cs="Calibri" w:eastAsia="Calibri" w:hAnsi="Calibri"/>
                <w:b w:val="false"/>
                <w:bCs w:val="false"/>
                <w:color w:val="000000"/>
                <w:sz w:val="18"/>
                <w:szCs w:val="18"/>
              </w:rPr>
              <w:t xml:space="preserve">4 hours for read access</w:t>
            </w:r>
          </w:p>
        </w:tc>
        <w:tc>
          <w:tcPr>
            <w:tcW w:type="dxa" w:w="2400"/>
            <w:shd w:fill="F2F2F2" w:val="clear"/>
            <w:tcMar>
              <w:top w:type="dxa" w:w="70"/>
              <w:left w:type="dxa" w:w="90"/>
              <w:bottom w:type="dxa" w:w="70"/>
              <w:right w:type="dxa" w:w="90"/>
            </w:tcMar>
            <w:vAlign w:val="center"/>
          </w:tcPr>
          <w:p>
            <w:r>
              <w:rPr>
                <w:rFonts w:ascii="Calibri" w:cs="Calibri" w:eastAsia="Calibri" w:hAnsi="Calibri"/>
                <w:b w:val="false"/>
                <w:bCs w:val="false"/>
                <w:color w:val="000000"/>
                <w:sz w:val="18"/>
                <w:szCs w:val="18"/>
              </w:rPr>
              <w:t xml:space="preserve">Zero</w:t>
            </w:r>
          </w:p>
        </w:tc>
        <w:tc>
          <w:tcPr>
            <w:tcW w:type="dxa" w:w="2800"/>
            <w:shd w:fill="F2F2F2" w:val="clear"/>
            <w:tcMar>
              <w:top w:type="dxa" w:w="70"/>
              <w:left w:type="dxa" w:w="90"/>
              <w:bottom w:type="dxa" w:w="70"/>
              <w:right w:type="dxa" w:w="90"/>
            </w:tcMar>
            <w:vAlign w:val="center"/>
          </w:tcPr>
          <w:p>
            <w:r>
              <w:rPr>
                <w:rFonts w:ascii="Calibri" w:cs="Calibri" w:eastAsia="Calibri" w:hAnsi="Calibri"/>
                <w:b w:val="false"/>
                <w:bCs w:val="false"/>
                <w:color w:val="000000"/>
                <w:sz w:val="18"/>
                <w:szCs w:val="18"/>
              </w:rPr>
              <w:t xml:space="preserve">Regulatory retrievability requirement. A record that cannot be produced within the recourse window does not support the procedure</w:t>
            </w:r>
          </w:p>
        </w:tc>
      </w:tr>
    </w:tbl>
    <w:p>
      <w:pPr>
        <w:spacing w:after="160" w:line="276"/>
      </w:pPr>
      <w:r>
        <w:rPr>
          <w:rFonts w:ascii="Calibri" w:cs="Calibri" w:eastAsia="Calibri" w:hAnsi="Calibri"/>
          <w:b w:val="false"/>
          <w:bCs w:val="false"/>
          <w:i/>
          <w:iCs/>
          <w:sz w:val="21"/>
          <w:szCs w:val="21"/>
        </w:rPr>
        <w:t xml:space="preserve">The narration layer carries the longest RTO in the estate, deliberately. Assigning it a tighter objective would imply the decision depends on it, which is precisely the dependency the architecture was designed to avoid.</w:t>
      </w:r>
    </w:p>
    <w:p>
      <w:pPr>
        <w:pStyle w:val="Heading1"/>
        <w:spacing w:after="160" w:before="320"/>
      </w:pPr>
      <w:r>
        <w:rPr>
          <w:b/>
          <w:bCs/>
          <w:color w:val="1F3864"/>
          <w:sz w:val="30"/>
          <w:szCs w:val="30"/>
        </w:rPr>
        <w:t xml:space="preserve">5. Testing</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2200"/>
            <w:shd w:fill="1F3864" w:val="clear"/>
            <w:tcMar>
              <w:top w:type="dxa" w:w="70"/>
              <w:left w:type="dxa" w:w="90"/>
              <w:bottom w:type="dxa" w:w="70"/>
              <w:right w:type="dxa" w:w="90"/>
            </w:tcMar>
            <w:vAlign w:val="center"/>
          </w:tcPr>
          <w:p>
            <w:r>
              <w:rPr>
                <w:rFonts w:ascii="Calibri" w:cs="Calibri" w:eastAsia="Calibri" w:hAnsi="Calibri"/>
                <w:b/>
                <w:bCs/>
                <w:color w:val="FFFFFF"/>
                <w:sz w:val="18"/>
                <w:szCs w:val="18"/>
              </w:rPr>
              <w:t xml:space="preserve">Test</w:t>
            </w:r>
          </w:p>
        </w:tc>
        <w:tc>
          <w:tcPr>
            <w:tcW w:type="dxa" w:w="1500"/>
            <w:shd w:fill="1F3864" w:val="clear"/>
            <w:tcMar>
              <w:top w:type="dxa" w:w="70"/>
              <w:left w:type="dxa" w:w="90"/>
              <w:bottom w:type="dxa" w:w="70"/>
              <w:right w:type="dxa" w:w="90"/>
            </w:tcMar>
            <w:vAlign w:val="center"/>
          </w:tcPr>
          <w:p>
            <w:r>
              <w:rPr>
                <w:rFonts w:ascii="Calibri" w:cs="Calibri" w:eastAsia="Calibri" w:hAnsi="Calibri"/>
                <w:b/>
                <w:bCs/>
                <w:color w:val="FFFFFF"/>
                <w:sz w:val="18"/>
                <w:szCs w:val="18"/>
              </w:rPr>
              <w:t xml:space="preserve">Frequency</w:t>
            </w:r>
          </w:p>
        </w:tc>
        <w:tc>
          <w:tcPr>
            <w:tcW w:type="dxa" w:w="2900"/>
            <w:shd w:fill="1F3864" w:val="clear"/>
            <w:tcMar>
              <w:top w:type="dxa" w:w="70"/>
              <w:left w:type="dxa" w:w="90"/>
              <w:bottom w:type="dxa" w:w="70"/>
              <w:right w:type="dxa" w:w="90"/>
            </w:tcMar>
            <w:vAlign w:val="center"/>
          </w:tcPr>
          <w:p>
            <w:r>
              <w:rPr>
                <w:rFonts w:ascii="Calibri" w:cs="Calibri" w:eastAsia="Calibri" w:hAnsi="Calibri"/>
                <w:b/>
                <w:bCs/>
                <w:color w:val="FFFFFF"/>
                <w:sz w:val="18"/>
                <w:szCs w:val="18"/>
              </w:rPr>
              <w:t xml:space="preserve">Method</w:t>
            </w:r>
          </w:p>
        </w:tc>
        <w:tc>
          <w:tcPr>
            <w:tcW w:type="dxa" w:w="2900"/>
            <w:shd w:fill="1F3864" w:val="clear"/>
            <w:tcMar>
              <w:top w:type="dxa" w:w="70"/>
              <w:left w:type="dxa" w:w="90"/>
              <w:bottom w:type="dxa" w:w="70"/>
              <w:right w:type="dxa" w:w="90"/>
            </w:tcMar>
            <w:vAlign w:val="center"/>
          </w:tcPr>
          <w:p>
            <w:r>
              <w:rPr>
                <w:rFonts w:ascii="Calibri" w:cs="Calibri" w:eastAsia="Calibri" w:hAnsi="Calibri"/>
                <w:b/>
                <w:bCs/>
                <w:color w:val="FFFFFF"/>
                <w:sz w:val="18"/>
                <w:szCs w:val="18"/>
              </w:rPr>
              <w:t xml:space="preserve">Last outcome</w:t>
            </w:r>
          </w:p>
        </w:tc>
      </w:tr>
      <w:tr>
        <w:tc>
          <w:tcPr>
            <w:tcW w:type="dxa" w:w="2200"/>
            <w:shd w:fill="FFFFFF" w:val="clear"/>
            <w:tcMar>
              <w:top w:type="dxa" w:w="70"/>
              <w:left w:type="dxa" w:w="90"/>
              <w:bottom w:type="dxa" w:w="70"/>
              <w:right w:type="dxa" w:w="90"/>
            </w:tcMar>
            <w:vAlign w:val="center"/>
          </w:tcPr>
          <w:p>
            <w:r>
              <w:rPr>
                <w:rFonts w:ascii="Calibri" w:cs="Calibri" w:eastAsia="Calibri" w:hAnsi="Calibri"/>
                <w:b w:val="false"/>
                <w:bCs w:val="false"/>
                <w:color w:val="000000"/>
                <w:sz w:val="18"/>
                <w:szCs w:val="18"/>
              </w:rPr>
              <w:t xml:space="preserve">Circuit breaker activation</w:t>
            </w:r>
          </w:p>
        </w:tc>
        <w:tc>
          <w:tcPr>
            <w:tcW w:type="dxa" w:w="1500"/>
            <w:shd w:fill="FFFFFF" w:val="clear"/>
            <w:tcMar>
              <w:top w:type="dxa" w:w="70"/>
              <w:left w:type="dxa" w:w="90"/>
              <w:bottom w:type="dxa" w:w="70"/>
              <w:right w:type="dxa" w:w="90"/>
            </w:tcMar>
            <w:vAlign w:val="center"/>
          </w:tcPr>
          <w:p>
            <w:r>
              <w:rPr>
                <w:rFonts w:ascii="Calibri" w:cs="Calibri" w:eastAsia="Calibri" w:hAnsi="Calibri"/>
                <w:b w:val="false"/>
                <w:bCs w:val="false"/>
                <w:color w:val="000000"/>
                <w:sz w:val="18"/>
                <w:szCs w:val="18"/>
              </w:rPr>
              <w:t xml:space="preserve">Semi-annual</w:t>
            </w:r>
          </w:p>
        </w:tc>
        <w:tc>
          <w:tcPr>
            <w:tcW w:type="dxa" w:w="2900"/>
            <w:shd w:fill="FFFFFF" w:val="clear"/>
            <w:tcMar>
              <w:top w:type="dxa" w:w="70"/>
              <w:left w:type="dxa" w:w="90"/>
              <w:bottom w:type="dxa" w:w="70"/>
              <w:right w:type="dxa" w:w="90"/>
            </w:tcMar>
            <w:vAlign w:val="center"/>
          </w:tcPr>
          <w:p>
            <w:r>
              <w:rPr>
                <w:rFonts w:ascii="Calibri" w:cs="Calibri" w:eastAsia="Calibri" w:hAnsi="Calibri"/>
                <w:b w:val="false"/>
                <w:bCs w:val="false"/>
                <w:color w:val="000000"/>
                <w:sz w:val="18"/>
                <w:szCs w:val="18"/>
              </w:rPr>
              <w:t xml:space="preserve">Induced failure of the narration path in a controlled window</w:t>
            </w:r>
          </w:p>
        </w:tc>
        <w:tc>
          <w:tcPr>
            <w:tcW w:type="dxa" w:w="2900"/>
            <w:shd w:fill="FFFFFF" w:val="clear"/>
            <w:tcMar>
              <w:top w:type="dxa" w:w="70"/>
              <w:left w:type="dxa" w:w="90"/>
              <w:bottom w:type="dxa" w:w="70"/>
              <w:right w:type="dxa" w:w="90"/>
            </w:tcMar>
            <w:vAlign w:val="center"/>
          </w:tcPr>
          <w:p>
            <w:r>
              <w:rPr>
                <w:rFonts w:ascii="Calibri" w:cs="Calibri" w:eastAsia="Calibri" w:hAnsi="Calibri"/>
                <w:b w:val="false"/>
                <w:bCs w:val="false"/>
                <w:color w:val="000000"/>
                <w:sz w:val="18"/>
                <w:szCs w:val="18"/>
              </w:rPr>
              <w:t xml:space="preserve">Fallback engaged; underwriters completed decisions on score and drivers alone</w:t>
            </w:r>
          </w:p>
        </w:tc>
      </w:tr>
      <w:tr>
        <w:tc>
          <w:tcPr>
            <w:tcW w:type="dxa" w:w="2200"/>
            <w:shd w:fill="F2F2F2" w:val="clear"/>
            <w:tcMar>
              <w:top w:type="dxa" w:w="70"/>
              <w:left w:type="dxa" w:w="90"/>
              <w:bottom w:type="dxa" w:w="70"/>
              <w:right w:type="dxa" w:w="90"/>
            </w:tcMar>
            <w:vAlign w:val="center"/>
          </w:tcPr>
          <w:p>
            <w:r>
              <w:rPr>
                <w:rFonts w:ascii="Calibri" w:cs="Calibri" w:eastAsia="Calibri" w:hAnsi="Calibri"/>
                <w:b w:val="false"/>
                <w:bCs w:val="false"/>
                <w:color w:val="000000"/>
                <w:sz w:val="18"/>
                <w:szCs w:val="18"/>
              </w:rPr>
              <w:t xml:space="preserve">Permission-layer suspension</w:t>
            </w:r>
          </w:p>
        </w:tc>
        <w:tc>
          <w:tcPr>
            <w:tcW w:type="dxa" w:w="1500"/>
            <w:shd w:fill="F2F2F2" w:val="clear"/>
            <w:tcMar>
              <w:top w:type="dxa" w:w="70"/>
              <w:left w:type="dxa" w:w="90"/>
              <w:bottom w:type="dxa" w:w="70"/>
              <w:right w:type="dxa" w:w="90"/>
            </w:tcMar>
            <w:vAlign w:val="center"/>
          </w:tcPr>
          <w:p>
            <w:r>
              <w:rPr>
                <w:rFonts w:ascii="Calibri" w:cs="Calibri" w:eastAsia="Calibri" w:hAnsi="Calibri"/>
                <w:b w:val="false"/>
                <w:bCs w:val="false"/>
                <w:color w:val="000000"/>
                <w:sz w:val="18"/>
                <w:szCs w:val="18"/>
              </w:rPr>
              <w:t xml:space="preserve">Semi-annual</w:t>
            </w:r>
          </w:p>
        </w:tc>
        <w:tc>
          <w:tcPr>
            <w:tcW w:type="dxa" w:w="2900"/>
            <w:shd w:fill="F2F2F2" w:val="clear"/>
            <w:tcMar>
              <w:top w:type="dxa" w:w="70"/>
              <w:left w:type="dxa" w:w="90"/>
              <w:bottom w:type="dxa" w:w="70"/>
              <w:right w:type="dxa" w:w="90"/>
            </w:tcMar>
            <w:vAlign w:val="center"/>
          </w:tcPr>
          <w:p>
            <w:r>
              <w:rPr>
                <w:rFonts w:ascii="Calibri" w:cs="Calibri" w:eastAsia="Calibri" w:hAnsi="Calibri"/>
                <w:b w:val="false"/>
                <w:bCs w:val="false"/>
                <w:color w:val="000000"/>
                <w:sz w:val="18"/>
                <w:szCs w:val="18"/>
              </w:rPr>
              <w:t xml:space="preserve">Suspension invoked and reversed</w:t>
            </w:r>
          </w:p>
        </w:tc>
        <w:tc>
          <w:tcPr>
            <w:tcW w:type="dxa" w:w="2900"/>
            <w:shd w:fill="F2F2F2" w:val="clear"/>
            <w:tcMar>
              <w:top w:type="dxa" w:w="70"/>
              <w:left w:type="dxa" w:w="90"/>
              <w:bottom w:type="dxa" w:w="70"/>
              <w:right w:type="dxa" w:w="90"/>
            </w:tcMar>
            <w:vAlign w:val="center"/>
          </w:tcPr>
          <w:p>
            <w:r>
              <w:rPr>
                <w:rFonts w:ascii="Calibri" w:cs="Calibri" w:eastAsia="Calibri" w:hAnsi="Calibri"/>
                <w:b w:val="false"/>
                <w:bCs w:val="false"/>
                <w:color w:val="000000"/>
                <w:sz w:val="18"/>
                <w:szCs w:val="18"/>
              </w:rPr>
              <w:t xml:space="preserve">4 minutes to effect, 3 minutes to reverse</w:t>
            </w:r>
          </w:p>
        </w:tc>
      </w:tr>
      <w:tr>
        <w:tc>
          <w:tcPr>
            <w:tcW w:type="dxa" w:w="2200"/>
            <w:shd w:fill="FFFFFF" w:val="clear"/>
            <w:tcMar>
              <w:top w:type="dxa" w:w="70"/>
              <w:left w:type="dxa" w:w="90"/>
              <w:bottom w:type="dxa" w:w="70"/>
              <w:right w:type="dxa" w:w="90"/>
            </w:tcMar>
            <w:vAlign w:val="center"/>
          </w:tcPr>
          <w:p>
            <w:r>
              <w:rPr>
                <w:rFonts w:ascii="Calibri" w:cs="Calibri" w:eastAsia="Calibri" w:hAnsi="Calibri"/>
                <w:b w:val="false"/>
                <w:bCs w:val="false"/>
                <w:color w:val="000000"/>
                <w:sz w:val="18"/>
                <w:szCs w:val="18"/>
              </w:rPr>
              <w:t xml:space="preserve">Evidence retrieval</w:t>
            </w:r>
          </w:p>
        </w:tc>
        <w:tc>
          <w:tcPr>
            <w:tcW w:type="dxa" w:w="1500"/>
            <w:shd w:fill="FFFFFF" w:val="clear"/>
            <w:tcMar>
              <w:top w:type="dxa" w:w="70"/>
              <w:left w:type="dxa" w:w="90"/>
              <w:bottom w:type="dxa" w:w="70"/>
              <w:right w:type="dxa" w:w="90"/>
            </w:tcMar>
            <w:vAlign w:val="center"/>
          </w:tcPr>
          <w:p>
            <w:r>
              <w:rPr>
                <w:rFonts w:ascii="Calibri" w:cs="Calibri" w:eastAsia="Calibri" w:hAnsi="Calibri"/>
                <w:b w:val="false"/>
                <w:bCs w:val="false"/>
                <w:color w:val="000000"/>
                <w:sz w:val="18"/>
                <w:szCs w:val="18"/>
              </w:rPr>
              <w:t xml:space="preserve">Annual</w:t>
            </w:r>
          </w:p>
        </w:tc>
        <w:tc>
          <w:tcPr>
            <w:tcW w:type="dxa" w:w="2900"/>
            <w:shd w:fill="FFFFFF" w:val="clear"/>
            <w:tcMar>
              <w:top w:type="dxa" w:w="70"/>
              <w:left w:type="dxa" w:w="90"/>
              <w:bottom w:type="dxa" w:w="70"/>
              <w:right w:type="dxa" w:w="90"/>
            </w:tcMar>
            <w:vAlign w:val="center"/>
          </w:tcPr>
          <w:p>
            <w:r>
              <w:rPr>
                <w:rFonts w:ascii="Calibri" w:cs="Calibri" w:eastAsia="Calibri" w:hAnsi="Calibri"/>
                <w:b w:val="false"/>
                <w:bCs w:val="false"/>
                <w:color w:val="000000"/>
                <w:sz w:val="18"/>
                <w:szCs w:val="18"/>
              </w:rPr>
              <w:t xml:space="preserve">Sample retrieval from the immutable store against the recourse window</w:t>
            </w:r>
          </w:p>
        </w:tc>
        <w:tc>
          <w:tcPr>
            <w:tcW w:type="dxa" w:w="2900"/>
            <w:shd w:fill="FFFFFF" w:val="clear"/>
            <w:tcMar>
              <w:top w:type="dxa" w:w="70"/>
              <w:left w:type="dxa" w:w="90"/>
              <w:bottom w:type="dxa" w:w="70"/>
              <w:right w:type="dxa" w:w="90"/>
            </w:tcMar>
            <w:vAlign w:val="center"/>
          </w:tcPr>
          <w:p>
            <w:r>
              <w:rPr>
                <w:rFonts w:ascii="Calibri" w:cs="Calibri" w:eastAsia="Calibri" w:hAnsi="Calibri"/>
                <w:b w:val="false"/>
                <w:bCs w:val="false"/>
                <w:color w:val="000000"/>
                <w:sz w:val="18"/>
                <w:szCs w:val="18"/>
              </w:rPr>
              <w:t xml:space="preserve">Scheduled — first test not yet run</w:t>
            </w:r>
          </w:p>
        </w:tc>
      </w:tr>
      <w:tr>
        <w:tc>
          <w:tcPr>
            <w:tcW w:type="dxa" w:w="2200"/>
            <w:shd w:fill="F2F2F2" w:val="clear"/>
            <w:tcMar>
              <w:top w:type="dxa" w:w="70"/>
              <w:left w:type="dxa" w:w="90"/>
              <w:bottom w:type="dxa" w:w="70"/>
              <w:right w:type="dxa" w:w="90"/>
            </w:tcMar>
            <w:vAlign w:val="center"/>
          </w:tcPr>
          <w:p>
            <w:r>
              <w:rPr>
                <w:rFonts w:ascii="Calibri" w:cs="Calibri" w:eastAsia="Calibri" w:hAnsi="Calibri"/>
                <w:b w:val="false"/>
                <w:bCs w:val="false"/>
                <w:color w:val="000000"/>
                <w:sz w:val="18"/>
                <w:szCs w:val="18"/>
              </w:rPr>
              <w:t xml:space="preserve">Manual capability at volume</w:t>
            </w:r>
          </w:p>
        </w:tc>
        <w:tc>
          <w:tcPr>
            <w:tcW w:type="dxa" w:w="1500"/>
            <w:shd w:fill="F2F2F2" w:val="clear"/>
            <w:tcMar>
              <w:top w:type="dxa" w:w="70"/>
              <w:left w:type="dxa" w:w="90"/>
              <w:bottom w:type="dxa" w:w="70"/>
              <w:right w:type="dxa" w:w="90"/>
            </w:tcMar>
            <w:vAlign w:val="center"/>
          </w:tcPr>
          <w:p>
            <w:r>
              <w:rPr>
                <w:rFonts w:ascii="Calibri" w:cs="Calibri" w:eastAsia="Calibri" w:hAnsi="Calibri"/>
                <w:b w:val="false"/>
                <w:bCs w:val="false"/>
                <w:color w:val="000000"/>
                <w:sz w:val="18"/>
                <w:szCs w:val="18"/>
              </w:rPr>
              <w:t xml:space="preserve">At rollout decision</w:t>
            </w:r>
          </w:p>
        </w:tc>
        <w:tc>
          <w:tcPr>
            <w:tcW w:type="dxa" w:w="2900"/>
            <w:shd w:fill="F2F2F2" w:val="clear"/>
            <w:tcMar>
              <w:top w:type="dxa" w:w="70"/>
              <w:left w:type="dxa" w:w="90"/>
              <w:bottom w:type="dxa" w:w="70"/>
              <w:right w:type="dxa" w:w="90"/>
            </w:tcMar>
            <w:vAlign w:val="center"/>
          </w:tcPr>
          <w:p>
            <w:r>
              <w:rPr>
                <w:rFonts w:ascii="Calibri" w:cs="Calibri" w:eastAsia="Calibri" w:hAnsi="Calibri"/>
                <w:b w:val="false"/>
                <w:bCs w:val="false"/>
                <w:color w:val="000000"/>
                <w:sz w:val="18"/>
                <w:szCs w:val="18"/>
              </w:rPr>
              <w:t xml:space="preserve">Unaided underwriting exercise at representative volume</w:t>
            </w:r>
          </w:p>
        </w:tc>
        <w:tc>
          <w:tcPr>
            <w:tcW w:type="dxa" w:w="2900"/>
            <w:shd w:fill="F2F2F2" w:val="clear"/>
            <w:tcMar>
              <w:top w:type="dxa" w:w="70"/>
              <w:left w:type="dxa" w:w="90"/>
              <w:bottom w:type="dxa" w:w="70"/>
              <w:right w:type="dxa" w:w="90"/>
            </w:tcMar>
            <w:vAlign w:val="center"/>
          </w:tcPr>
          <w:p>
            <w:r>
              <w:rPr>
                <w:rFonts w:ascii="Calibri" w:cs="Calibri" w:eastAsia="Calibri" w:hAnsi="Calibri"/>
                <w:b w:val="false"/>
                <w:bCs w:val="false"/>
                <w:color w:val="000000"/>
                <w:sz w:val="18"/>
                <w:szCs w:val="18"/>
              </w:rPr>
              <w:t xml:space="preserve">Not yet required at pilot scale</w:t>
            </w:r>
          </w:p>
        </w:tc>
      </w:tr>
    </w:tbl>
    <w:p>
      <w:pPr>
        <w:spacing w:after="160" w:line="276"/>
      </w:pPr>
      <w:r>
        <w:rPr>
          <w:rFonts w:ascii="Calibri" w:cs="Calibri" w:eastAsia="Calibri" w:hAnsi="Calibri"/>
          <w:b/>
          <w:bCs/>
          <w:i w:val="false"/>
          <w:iCs w:val="false"/>
          <w:sz w:val="21"/>
          <w:szCs w:val="21"/>
        </w:rPr>
        <w:t xml:space="preserve">On-call staff must have exercised the suspension mechanism rather than read the procedure. Familiarity is the objective of the test; mechanism verification is the by-product.</w:t>
      </w:r>
    </w:p>
    <w:p>
      <w:pPr>
        <w:pStyle w:val="Heading1"/>
        <w:spacing w:after="160" w:before="320"/>
      </w:pPr>
      <w:r>
        <w:rPr>
          <w:b/>
          <w:bCs/>
          <w:color w:val="1F3864"/>
          <w:sz w:val="30"/>
          <w:szCs w:val="30"/>
        </w:rPr>
        <w:t xml:space="preserve">6. Interfaces with other artefacts</w:t>
      </w:r>
    </w:p>
    <w:p>
      <w:pPr>
        <w:pStyle w:val="ListParagraph"/>
        <w:numPr>
          <w:ilvl w:val="0"/>
          <w:numId w:val="2"/>
        </w:numPr>
        <w:spacing w:after="90"/>
      </w:pPr>
      <w:r>
        <w:rPr>
          <w:rFonts w:ascii="Calibri" w:cs="Calibri" w:eastAsia="Calibri" w:hAnsi="Calibri"/>
          <w:sz w:val="21"/>
          <w:szCs w:val="21"/>
        </w:rPr>
        <w:t xml:space="preserve">A-34 Kill Switch &amp; Emergency Suspension Provision — suspension authority, triggering signals and mechanism.</w:t>
      </w:r>
    </w:p>
    <w:p>
      <w:pPr>
        <w:pStyle w:val="ListParagraph"/>
        <w:numPr>
          <w:ilvl w:val="0"/>
          <w:numId w:val="2"/>
        </w:numPr>
        <w:spacing w:after="90"/>
      </w:pPr>
      <w:r>
        <w:rPr>
          <w:rFonts w:ascii="Calibri" w:cs="Calibri" w:eastAsia="Calibri" w:hAnsi="Calibri"/>
          <w:sz w:val="21"/>
          <w:szCs w:val="21"/>
        </w:rPr>
        <w:t xml:space="preserve">A-32 AI Incident Response Playbook — incident classification, notification clocks and post-incident review.</w:t>
      </w:r>
    </w:p>
    <w:p>
      <w:pPr>
        <w:pStyle w:val="ListParagraph"/>
        <w:numPr>
          <w:ilvl w:val="0"/>
          <w:numId w:val="2"/>
        </w:numPr>
        <w:spacing w:after="90"/>
      </w:pPr>
      <w:r>
        <w:rPr>
          <w:rFonts w:ascii="Calibri" w:cs="Calibri" w:eastAsia="Calibri" w:hAnsi="Calibri"/>
          <w:sz w:val="21"/>
          <w:szCs w:val="21"/>
        </w:rPr>
        <w:t xml:space="preserve">A-30 Post-Deployment Monitoring &amp; Review Policy — the thresholds whose breach opens the circuit breaker.</w:t>
      </w:r>
    </w:p>
    <w:p>
      <w:pPr>
        <w:pStyle w:val="ListParagraph"/>
        <w:numPr>
          <w:ilvl w:val="0"/>
          <w:numId w:val="2"/>
        </w:numPr>
        <w:spacing w:after="90"/>
      </w:pPr>
      <w:r>
        <w:rPr>
          <w:rFonts w:ascii="Calibri" w:cs="Calibri" w:eastAsia="Calibri" w:hAnsi="Calibri"/>
          <w:sz w:val="21"/>
          <w:szCs w:val="21"/>
        </w:rPr>
        <w:t xml:space="preserve">A-41 Decommissioning &amp; Records Retention Plan — evidence retention obligations that survive any continuity event.</w:t>
      </w:r>
    </w:p>
    <w:sectPr>
      <w:pgSz w:w="12240" w:h="15840"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60"/>
      </w:pPr>
    </w:lvl>
  </w:abstractNum>
  <w:abstractNum w:abstractNumId="3" w15:restartNumberingAfterBreak="0">
    <w:multiLevelType w:val="hybridMultilevel"/>
    <w:lvl w:ilvl="0" w15:tentative="1">
      <w:start w:val="1"/>
      <w:numFmt w:val="decimal"/>
      <w:lvlText w:val="%1."/>
      <w:lvlJc w:val="left"/>
      <w:pPr>
        <w:ind w:left="40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Calibri" w:cs="Calibri" w:eastAsia="Calibri" w:hAnsi="Calibri"/>
    </w:rPr>
  </w:style>
  <w:style w:type="paragraph" w:styleId="Heading2">
    <w:name w:val="Heading 2"/>
    <w:basedOn w:val="Normal"/>
    <w:next w:val="Normal"/>
    <w:qFormat/>
    <w:rPr>
      <w:rFonts w:ascii="Calibri" w:cs="Calibri" w:eastAsia="Calibri" w:hAnsi="Calibri"/>
    </w:rPr>
  </w:style>
  <w:style w:type="paragraph" w:styleId="Heading3">
    <w:name w:val="Heading 3"/>
    <w:basedOn w:val="Normal"/>
    <w:next w:val="Normal"/>
    <w:qFormat/>
    <w:rPr>
      <w:rFonts w:ascii="Calibri" w:cs="Calibri" w:eastAsia="Calibri" w:hAnsi="Calibri"/>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2026-09-13T08:54:51.093Z</dcterms:created>
  <dcterms:modified xsi:type="dcterms:W3CDTF">2026-09-13T08:54:51.093Z</dcterms:modified>
</cp:coreProperties>
</file>

<file path=docProps/custom.xml><?xml version="1.0" encoding="utf-8"?>
<Properties xmlns="http://schemas.openxmlformats.org/officeDocument/2006/custom-properties" xmlns:vt="http://schemas.openxmlformats.org/officeDocument/2006/docPropsVTypes"/>
</file>