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Conclusion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Blockchain technology is a catalyst for emerging use cases in the financial and nonfinancial industries such as industrial manufacturing,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supply chain, and healthcare. The research indicates Blockchain can play a pivotal role in transforming the digitization of industries and applications by enabling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trust frameworks, creating agile value chain production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we proposed a new decentralized traceability system based on blockchain technology,and explored the challenges in scaling blockchains in general.Moreover,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example scenario was given to demonstrate how it works in the food supply chain. This system will deliver real-time information to all supply chain members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safety status of food products, extremely reduce the risk of centralized information systems, and bring more secure, distributed, transparent, and collaborative. Our system can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significantly improve efficiency and transparency of the foodsupply chain, which will obviously enhance the food safety and rebuild the consumer’s confidence in the food industry.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The above mentioned traceability system can effectively realize the product traceability requirements.The Blockchain technology is more credible than the traditional database.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Because the system is based on a consortium chain composed of multiple organizations,the cost of cooperation between enterprises is lower,which can effectively reduce operating costs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improve economic efficiency.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The evaluation shows that FoodTrail Blockchain fulfilled the distributed, verified, and immutable aspect.the system has advantages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to access and precision aspect, because all transaction is verified, immutable, and stored locally in every node.The low performance of the blockchain system is a trade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 from its superiority in terms of security and trust. One of the aspects that must be improved is the ability to handle transactions. Although it has many weaknesses, the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blockchain system has the potential to be a system integrity solution in the food supply chain because the system can be implemented without the need for additional third parties that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requires additional costs and dependence on other parties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