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 Dabbene, F., Gay, P., &amp; Tortia, C. (2014): Traceability issues in food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supply chain management: A review, Biosystems engineering, 120,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65-80.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[2] Hobbs, J. E. (2004): Information asymmetry and the role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traceability systems, Agribusiness: An International Journal, 20(4),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397-415.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[3] McEntire, J. C., Arens, S., Bernstein, M., Bugusu, B., Busta, F. F.,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Cole, M. &amp; Kenah, B. (2010): Traceability (product tracing) in food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systems: an IFT report submitted to the FDA, volume 1: technical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aspects and recommendations, Comprehensive Reviews in Food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Science and Food Safety, 9(1), 92-158.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[4] Scholten, H., Verdouw, C. N., Beulens, A., &amp; van der Vorst, J. G. 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J. (2016): Defining and analyzing traceability systems in food supply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chains, Advances in Food Traceability Techniques and Technologies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(pp. 9-33).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[5] Folinas, D., Manikas, I., &amp; Manos, B, (2006): Traceability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management for food chains, British Food Journal, 108(8), 622-633.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[6] Nakamoto, S, (2008): Bitcoin: A peer-to-peer electronic cash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[7] Dinh, T. T. A., Liu, R., Zhang, M., Chen, G., Ooi, B. C., &amp; Wang, J.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(2018): Untangling blockchain: A data processing view of blockchain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systems, IEEE Transactions on Knowledge and Data Engineering,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30(7), 1366-1385.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[8] Özsu, M. T., &amp; Valduriez, P, (2011): Principles of distributed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database systems. Springer Science &amp; Business Media.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[9] Hackius, N., &amp; Petersen, M. (2017), Blockchain in logistics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supply chain: trick or treat?, Proceedings of the Hamburg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International Conference of Logistics (HICL), 3-18.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[10] Mattoli, V., Mazzolai, B., Mondini, A., Zampolli, S., &amp; Dario, P.,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Flexible tag datalogger for food logistics. Sensors and Actuators 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Physical. 2010, 162(2), 316-323.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[11] Abeyratne, S.A., &amp; Monfared, R.P., Blockchain ready manufacturing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supply chain using distributed ledger. International Journal of Research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Engineering and Technology. 2016, 5(9), 1-10.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[12] Weber, I., Xu, X.., Riveret, R., Governatori, G., Ponomarev, A., &amp;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Mendling, J., Untrusted business process monitoring and execution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blockchain. International Conference on Business Process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Management. 2016. 329-347.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[13] Croman, K., et al., On scaling decentralized blockchain. International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Conference on Financial Cryptography and Data Security. 2016, 106-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125.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[14] Ropkins, K., Ferguson, A., &amp; Beck, A.J., Development of hazard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analysis and critical control points (HACCP) procedures to control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organic chemical hazard in the agricultural production of raw food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commodities. Critical Reviews in Food Science and Nutrition, 2003,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43(3), 287-316.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[15] Bogart, S., &amp; Rice, K., The blockchain report: welcome to the internet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value. 2015.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