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b/>
          <w:color w:val="0A3663"/>
          <w:sz w:val="48"/>
        </w:rPr>
        <w:t>VARUNA-AI: Scientific &amp; Operational System Documentation</w:t>
      </w:r>
    </w:p>
    <w:p>
      <w:pPr>
        <w:spacing w:after="360"/>
      </w:pPr>
      <w:r>
        <w:rPr>
          <w:i/>
          <w:color w:val="4A5568"/>
          <w:sz w:val="26"/>
        </w:rPr>
        <w:t>Regime-Aware NWP Rainfall Post-Processing, Uncertainty Quantification, and Verification Engine</w:t>
        <w:br/>
        <w:t>Smart India Hackathon 2026 | Problem Statement: SIH26080</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0"/>
            </w:pPr>
            <w:r>
              <w:rPr>
                <w:b/>
                <w:color w:val="1A365D"/>
                <w:sz w:val="20"/>
              </w:rPr>
              <w:t>Document Version: 1.0.0 | Release: Operational Production | Target Domain: Indian Monsoon (ISMR)</w:t>
              <w:br/>
              <w:t>Target Users: IMD Forecasters, Disaster Management Authorities (NDMA/SDMAs), NWP Researchers</w:t>
            </w:r>
          </w:p>
        </w:tc>
      </w:tr>
    </w:tbl>
    <w:p>
      <w:pPr>
        <w:spacing w:after="240"/>
      </w:pPr>
    </w:p>
    <w:p>
      <w:pPr>
        <w:pStyle w:val="Heading1"/>
      </w:pPr>
      <w:r>
        <w:t>1. Executive Summary &amp; Problem Statement</w:t>
      </w:r>
    </w:p>
    <w:p>
      <w:r>
        <w:t>Numerical Weather Prediction (NWP) models (such as IMD GFS, NCMRWF NCUM, and ECMWF IFS) serve as the primary foundational tool for weather forecasting across India. However, during the intense Southwest Monsoon season (June–September), raw NWP models exhibit severe systematic spatial and quantitative precipitation forecast errors over the complex Indian subcontinent:</w:t>
      </w:r>
    </w:p>
    <w:p>
      <w:pPr>
        <w:pStyle w:val="ListBullet"/>
      </w:pPr>
      <w:r>
        <w:rPr>
          <w:b/>
          <w:color w:val="1A202C"/>
        </w:rPr>
        <w:t xml:space="preserve">Convective Underestimation: </w:t>
      </w:r>
      <w:r>
        <w:t>Raw NWP consistently underestimates high-intensity precipitation during active monsoon depressions and low-pressure systems, missing flash flood thresholds.</w:t>
      </w:r>
    </w:p>
    <w:p>
      <w:pPr>
        <w:pStyle w:val="ListBullet"/>
      </w:pPr>
      <w:r>
        <w:rPr>
          <w:b/>
          <w:color w:val="1A202C"/>
        </w:rPr>
        <w:t xml:space="preserve">False Alarm Drizzle: </w:t>
      </w:r>
      <w:r>
        <w:t>Raw NWP generates widespread spurious light rainfall during break monsoon phases over Central India and the Peninsula, eroding forecaster confidence.</w:t>
      </w:r>
    </w:p>
    <w:p>
      <w:pPr>
        <w:pStyle w:val="ListBullet"/>
      </w:pPr>
      <w:r>
        <w:rPr>
          <w:b/>
          <w:color w:val="1A202C"/>
        </w:rPr>
        <w:t xml:space="preserve">Orographic Displacement: </w:t>
      </w:r>
      <w:r>
        <w:t>Coarse grid resolutions displace the steep precipitation gradient along the windward slopes of the Western Ghats and northeastern hill ranges.</w:t>
      </w:r>
    </w:p>
    <w:p>
      <w:pPr>
        <w:pStyle w:val="ListBullet"/>
      </w:pPr>
      <w:r>
        <w:rPr>
          <w:b/>
          <w:color w:val="1A202C"/>
        </w:rPr>
        <w:t xml:space="preserve">Synoptic Regime Insensitivity: </w:t>
      </w:r>
      <w:r>
        <w:t>Traditional statistical post-processing methods (such as standard Model Output Statistics - MOS) apply static bias corrections, failing when the atmospheric regime dynamically shifts between active, break, and depressed states.</w:t>
      </w:r>
    </w:p>
    <w:p>
      <w:r>
        <w:t>VARUNA-AI resolves this challenge through a Regime-Aware Post-Processing Architecture. By dynamically identifying the macroscopic synoptic weather regime from 3D atmospheric circulation fields (Somali Jet, Tropical Easterly Jet, Monsoon Trough axis, and vertical shear), the system selectively conditions gradient-boosted rainfall correction, calibrated probability of heavy rainfall exceedance (P(Rain &gt;= 64.5 mm)), and 80% conformal prediction intervals.</w:t>
      </w:r>
    </w:p>
    <w:p>
      <w:pPr>
        <w:pStyle w:val="Heading1"/>
      </w:pPr>
      <w:r>
        <w:t>2. End-to-End System Architecture</w:t>
      </w:r>
    </w:p>
    <w:p>
      <w:r>
        <w:t>The VARUNA-AI platform comprises six modular, decoupled engineering pipelines designed for sub-second operational inference:</w:t>
      </w:r>
    </w:p>
    <w:p>
      <w:pPr>
        <w:pStyle w:val="ListBullet"/>
      </w:pPr>
      <w:r>
        <w:rPr>
          <w:b/>
        </w:rPr>
        <w:t xml:space="preserve">Module 1: Ingestion &amp; Feature Engine: </w:t>
      </w:r>
      <w:r>
        <w:t>Ingests raw NWP forecasts (NCMRWF NCUM / IMD GFS), ground telemetry observations, and ERA5/NWP multi-level pressure fields (850, 700, 500, 200 hPa). Performs automated quality control, physical bounding checks, and temporal alignment with zero future leakage.</w:t>
      </w:r>
    </w:p>
    <w:p>
      <w:pPr>
        <w:pStyle w:val="ListBullet"/>
      </w:pPr>
      <w:r>
        <w:rPr>
          <w:b/>
        </w:rPr>
        <w:t xml:space="preserve">Module 2: Synoptic Regime Classifier: </w:t>
      </w:r>
      <w:r>
        <w:t>Extracts physical circulation indices (Somali Jet speed, TEJ velocity, deep shear, monsoon trough latitude, CAPE, TCWV) and classifies the atmosphere into one of 6 distinct synoptic regimes using a multi-class GBDT.</w:t>
      </w:r>
    </w:p>
    <w:p>
      <w:pPr>
        <w:pStyle w:val="ListBullet"/>
      </w:pPr>
      <w:r>
        <w:rPr>
          <w:b/>
        </w:rPr>
        <w:t xml:space="preserve">Module 3: Rainfall Post-Processing Model Ladder: </w:t>
      </w:r>
      <w:r>
        <w:t>Implements a progressive 4-tier model hierarchy (Level 0 Raw NWP -&gt; Level 1 Empirical Quantile Mapping -&gt; Level 2 Standard ML -&gt; Level 3 VARUNA-AI Regime-Aware XGBoost).</w:t>
      </w:r>
    </w:p>
    <w:p>
      <w:pPr>
        <w:pStyle w:val="ListBullet"/>
      </w:pPr>
      <w:r>
        <w:rPr>
          <w:b/>
        </w:rPr>
        <w:t xml:space="preserve">Module 4: Uncertainty &amp; Probability Engine: </w:t>
      </w:r>
      <w:r>
        <w:t>Produces isotonic calibrated probabilities for the IMD Heavy Rainfall threshold (&gt;= 64.5 mm/day) and computes asymmetric 80% conformal prediction intervals.</w:t>
      </w:r>
    </w:p>
    <w:p>
      <w:pPr>
        <w:pStyle w:val="ListBullet"/>
      </w:pPr>
      <w:r>
        <w:rPr>
          <w:b/>
        </w:rPr>
        <w:t xml:space="preserve">Module 5: Geospatial Downscaling &amp; Alert Engine: </w:t>
      </w:r>
      <w:r>
        <w:t>Interpolates gridded fields to 11+ high-risk Indian districts via bilinear/IDW methods and assigns standardized IMD 4-stage color alerts (Green / Yellow / Orange / Red).</w:t>
      </w:r>
    </w:p>
    <w:p>
      <w:pPr>
        <w:pStyle w:val="ListBullet"/>
      </w:pPr>
      <w:r>
        <w:rPr>
          <w:b/>
        </w:rPr>
        <w:t xml:space="preserve">Module 6: Operational Dashboard &amp; REST API: </w:t>
      </w:r>
      <w:r>
        <w:t>Renders an interactive operational interface with Leaflet mapping, Chart.js analytics, and REST API endpoints (v1).</w:t>
      </w:r>
    </w:p>
    <w:p>
      <w:pPr>
        <w:pStyle w:val="Heading1"/>
      </w:pPr>
      <w:r>
        <w:t>3. Synoptic Meteorological Regime Engine</w:t>
      </w:r>
    </w:p>
    <w:p>
      <w:r>
        <w:t>The regime engine continuously diagnoses the large-scale atmospheric state. Below is the synoptic criteria for all 6 classified weather regimes:</w:t>
      </w:r>
    </w:p>
    <w:tbl>
      <w:tblPr>
        <w:tblW w:type="auto" w:w="0"/>
        <w:jc w:val="center"/>
        <w:tblLook w:firstColumn="1" w:firstRow="1" w:lastColumn="0" w:lastRow="0" w:noHBand="0" w:noVBand="1" w:val="04A0"/>
      </w:tblPr>
      <w:tblGrid>
        <w:gridCol w:w="3120"/>
        <w:gridCol w:w="3120"/>
        <w:gridCol w:w="3120"/>
      </w:tblGrid>
      <w:tr>
        <w:tc>
          <w:tcPr>
            <w:tcW w:type="dxa" w:w="3120"/>
            <w:shd w:fill="0A3663"/>
            <w:tcMar>
              <w:top w:w="120" w:type="dxa"/>
              <w:bottom w:w="120" w:type="dxa"/>
              <w:left w:w="140" w:type="dxa"/>
              <w:right w:w="140" w:type="dxa"/>
            </w:tcMar>
          </w:tcPr>
          <w:p>
            <w:r>
              <w:rPr>
                <w:b/>
                <w:color w:val="FFFFFF"/>
              </w:rPr>
              <w:t>Regime Identifier</w:t>
            </w:r>
          </w:p>
        </w:tc>
        <w:tc>
          <w:tcPr>
            <w:tcW w:type="dxa" w:w="3120"/>
            <w:shd w:fill="0A3663"/>
            <w:tcMar>
              <w:top w:w="120" w:type="dxa"/>
              <w:bottom w:w="120" w:type="dxa"/>
              <w:left w:w="140" w:type="dxa"/>
              <w:right w:w="140" w:type="dxa"/>
            </w:tcMar>
          </w:tcPr>
          <w:p>
            <w:r>
              <w:rPr>
                <w:b/>
                <w:color w:val="FFFFFF"/>
              </w:rPr>
              <w:t>Synoptic Physics &amp; Criteria</w:t>
            </w:r>
          </w:p>
        </w:tc>
        <w:tc>
          <w:tcPr>
            <w:tcW w:type="dxa" w:w="3120"/>
            <w:shd w:fill="0A3663"/>
            <w:tcMar>
              <w:top w:w="120" w:type="dxa"/>
              <w:bottom w:w="120" w:type="dxa"/>
              <w:left w:w="140" w:type="dxa"/>
              <w:right w:w="140" w:type="dxa"/>
            </w:tcMar>
          </w:tcPr>
          <w:p>
            <w:r>
              <w:rPr>
                <w:b/>
                <w:color w:val="FFFFFF"/>
              </w:rPr>
              <w:t>Operational Impact</w:t>
            </w:r>
          </w:p>
        </w:tc>
      </w:tr>
      <w:tr>
        <w:tc>
          <w:tcPr>
            <w:tcW w:type="dxa" w:w="3120"/>
            <w:shd w:fill="FFFFFF"/>
            <w:tcMar>
              <w:top w:w="100" w:type="dxa"/>
              <w:bottom w:w="100" w:type="dxa"/>
              <w:left w:w="120" w:type="dxa"/>
              <w:right w:w="120" w:type="dxa"/>
            </w:tcMar>
          </w:tcPr>
          <w:p>
            <w:r>
              <w:rPr>
                <w:b/>
              </w:rPr>
              <w:t>ACTIVE_MONSOON</w:t>
            </w:r>
          </w:p>
        </w:tc>
        <w:tc>
          <w:tcPr>
            <w:tcW w:type="dxa" w:w="3120"/>
            <w:shd w:fill="FFFFFF"/>
            <w:tcMar>
              <w:top w:w="100" w:type="dxa"/>
              <w:bottom w:w="100" w:type="dxa"/>
              <w:left w:w="120" w:type="dxa"/>
              <w:right w:w="120" w:type="dxa"/>
            </w:tcMar>
          </w:tcPr>
          <w:p>
            <w:r>
              <w:t>Trough south of normal (18-22°N); Somali Jet &gt; 15 m/s; strong low-level moisture convergence.</w:t>
            </w:r>
          </w:p>
        </w:tc>
        <w:tc>
          <w:tcPr>
            <w:tcW w:type="dxa" w:w="3120"/>
            <w:shd w:fill="FFFFFF"/>
            <w:tcMar>
              <w:top w:w="100" w:type="dxa"/>
              <w:bottom w:w="100" w:type="dxa"/>
              <w:left w:w="120" w:type="dxa"/>
              <w:right w:w="120" w:type="dxa"/>
            </w:tcMar>
          </w:tcPr>
          <w:p>
            <w:r>
              <w:t>Widespread heavy rain over Central India &amp; West Coast.</w:t>
            </w:r>
          </w:p>
        </w:tc>
      </w:tr>
      <w:tr>
        <w:tc>
          <w:tcPr>
            <w:tcW w:type="dxa" w:w="3120"/>
            <w:shd w:fill="F8FAFC"/>
            <w:tcMar>
              <w:top w:w="100" w:type="dxa"/>
              <w:bottom w:w="100" w:type="dxa"/>
              <w:left w:w="120" w:type="dxa"/>
              <w:right w:w="120" w:type="dxa"/>
            </w:tcMar>
          </w:tcPr>
          <w:p>
            <w:r>
              <w:rPr>
                <w:b/>
              </w:rPr>
              <w:t>BREAK_MONSOON</w:t>
            </w:r>
          </w:p>
        </w:tc>
        <w:tc>
          <w:tcPr>
            <w:tcW w:type="dxa" w:w="3120"/>
            <w:shd w:fill="F8FAFC"/>
            <w:tcMar>
              <w:top w:w="100" w:type="dxa"/>
              <w:bottom w:w="100" w:type="dxa"/>
              <w:left w:w="120" w:type="dxa"/>
              <w:right w:w="120" w:type="dxa"/>
            </w:tcMar>
          </w:tcPr>
          <w:p>
            <w:r>
              <w:t>Trough shifted to Himalayan foothills (&gt;27°N); Somali jet weakened (&lt;10 m/s); high surface pressure.</w:t>
            </w:r>
          </w:p>
        </w:tc>
        <w:tc>
          <w:tcPr>
            <w:tcW w:type="dxa" w:w="3120"/>
            <w:shd w:fill="F8FAFC"/>
            <w:tcMar>
              <w:top w:w="100" w:type="dxa"/>
              <w:bottom w:w="100" w:type="dxa"/>
              <w:left w:w="120" w:type="dxa"/>
              <w:right w:w="120" w:type="dxa"/>
            </w:tcMar>
          </w:tcPr>
          <w:p>
            <w:r>
              <w:t>Rainfall suppressed over Central India; intense over foothill districts (Dehradun, Bihar).</w:t>
            </w:r>
          </w:p>
        </w:tc>
      </w:tr>
      <w:tr>
        <w:tc>
          <w:tcPr>
            <w:tcW w:type="dxa" w:w="3120"/>
            <w:shd w:fill="FFFFFF"/>
            <w:tcMar>
              <w:top w:w="100" w:type="dxa"/>
              <w:bottom w:w="100" w:type="dxa"/>
              <w:left w:w="120" w:type="dxa"/>
              <w:right w:w="120" w:type="dxa"/>
            </w:tcMar>
          </w:tcPr>
          <w:p>
            <w:r>
              <w:rPr>
                <w:b/>
              </w:rPr>
              <w:t>MONSOON_LOW_DEPRESSION</w:t>
            </w:r>
          </w:p>
        </w:tc>
        <w:tc>
          <w:tcPr>
            <w:tcW w:type="dxa" w:w="3120"/>
            <w:shd w:fill="FFFFFF"/>
            <w:tcMar>
              <w:top w:w="100" w:type="dxa"/>
              <w:bottom w:w="100" w:type="dxa"/>
              <w:left w:w="120" w:type="dxa"/>
              <w:right w:w="120" w:type="dxa"/>
            </w:tcMar>
          </w:tcPr>
          <w:p>
            <w:r>
              <w:t>Closed cyclonic circulation (850 hPa vorticity &gt; 4e-5 s-1) over Bay of Bengal moving W-NW.</w:t>
            </w:r>
          </w:p>
        </w:tc>
        <w:tc>
          <w:tcPr>
            <w:tcW w:type="dxa" w:w="3120"/>
            <w:shd w:fill="FFFFFF"/>
            <w:tcMar>
              <w:top w:w="100" w:type="dxa"/>
              <w:bottom w:w="100" w:type="dxa"/>
              <w:left w:w="120" w:type="dxa"/>
              <w:right w:w="120" w:type="dxa"/>
            </w:tcMar>
          </w:tcPr>
          <w:p>
            <w:r>
              <w:t>Extreme convective rainfall (&gt;115 mm/day) along the depression track.</w:t>
            </w:r>
          </w:p>
        </w:tc>
      </w:tr>
      <w:tr>
        <w:tc>
          <w:tcPr>
            <w:tcW w:type="dxa" w:w="3120"/>
            <w:shd w:fill="F8FAFC"/>
            <w:tcMar>
              <w:top w:w="100" w:type="dxa"/>
              <w:bottom w:w="100" w:type="dxa"/>
              <w:left w:w="120" w:type="dxa"/>
              <w:right w:w="120" w:type="dxa"/>
            </w:tcMar>
          </w:tcPr>
          <w:p>
            <w:r>
              <w:rPr>
                <w:b/>
              </w:rPr>
              <w:t>WESTERN_DISTURBANCE</w:t>
            </w:r>
          </w:p>
        </w:tc>
        <w:tc>
          <w:tcPr>
            <w:tcW w:type="dxa" w:w="3120"/>
            <w:shd w:fill="F8FAFC"/>
            <w:tcMar>
              <w:top w:w="100" w:type="dxa"/>
              <w:bottom w:w="100" w:type="dxa"/>
              <w:left w:w="120" w:type="dxa"/>
              <w:right w:w="120" w:type="dxa"/>
            </w:tcMar>
          </w:tcPr>
          <w:p>
            <w:r>
              <w:t>Mid-latitude upper westerly trough extending into NW India with cold advection aloft.</w:t>
            </w:r>
          </w:p>
        </w:tc>
        <w:tc>
          <w:tcPr>
            <w:tcW w:type="dxa" w:w="3120"/>
            <w:shd w:fill="F8FAFC"/>
            <w:tcMar>
              <w:top w:w="100" w:type="dxa"/>
              <w:bottom w:w="100" w:type="dxa"/>
              <w:left w:w="120" w:type="dxa"/>
              <w:right w:w="120" w:type="dxa"/>
            </w:tcMar>
          </w:tcPr>
          <w:p>
            <w:r>
              <w:t>Embedded severe thunderstorms over Jammu, Uttarakhand, Himachal, and Punjab plains.</w:t>
            </w:r>
          </w:p>
        </w:tc>
      </w:tr>
      <w:tr>
        <w:tc>
          <w:tcPr>
            <w:tcW w:type="dxa" w:w="3120"/>
            <w:shd w:fill="FFFFFF"/>
            <w:tcMar>
              <w:top w:w="100" w:type="dxa"/>
              <w:bottom w:w="100" w:type="dxa"/>
              <w:left w:w="120" w:type="dxa"/>
              <w:right w:w="120" w:type="dxa"/>
            </w:tcMar>
          </w:tcPr>
          <w:p>
            <w:r>
              <w:rPr>
                <w:b/>
              </w:rPr>
              <w:t>OROGRAPHIC_RAINFALL</w:t>
            </w:r>
          </w:p>
        </w:tc>
        <w:tc>
          <w:tcPr>
            <w:tcW w:type="dxa" w:w="3120"/>
            <w:shd w:fill="FFFFFF"/>
            <w:tcMar>
              <w:top w:w="100" w:type="dxa"/>
              <w:bottom w:w="100" w:type="dxa"/>
              <w:left w:w="120" w:type="dxa"/>
              <w:right w:w="120" w:type="dxa"/>
            </w:tcMar>
          </w:tcPr>
          <w:p>
            <w:r>
              <w:t>Strong low-level westerly winds impinging orthogonally on Western Ghats or Meghalaya.</w:t>
            </w:r>
          </w:p>
        </w:tc>
        <w:tc>
          <w:tcPr>
            <w:tcW w:type="dxa" w:w="3120"/>
            <w:shd w:fill="FFFFFF"/>
            <w:tcMar>
              <w:top w:w="100" w:type="dxa"/>
              <w:bottom w:w="100" w:type="dxa"/>
              <w:left w:w="120" w:type="dxa"/>
              <w:right w:w="120" w:type="dxa"/>
            </w:tcMar>
          </w:tcPr>
          <w:p>
            <w:r>
              <w:t>Localized extreme windward precipitation enhancement along steep terrain.</w:t>
            </w:r>
          </w:p>
        </w:tc>
      </w:tr>
      <w:tr>
        <w:tc>
          <w:tcPr>
            <w:tcW w:type="dxa" w:w="3120"/>
            <w:shd w:fill="F8FAFC"/>
            <w:tcMar>
              <w:top w:w="100" w:type="dxa"/>
              <w:bottom w:w="100" w:type="dxa"/>
              <w:left w:w="120" w:type="dxa"/>
              <w:right w:w="120" w:type="dxa"/>
            </w:tcMar>
          </w:tcPr>
          <w:p>
            <w:r>
              <w:rPr>
                <w:b/>
              </w:rPr>
              <w:t>COASTAL_RAINFALL</w:t>
            </w:r>
          </w:p>
        </w:tc>
        <w:tc>
          <w:tcPr>
            <w:tcW w:type="dxa" w:w="3120"/>
            <w:shd w:fill="F8FAFC"/>
            <w:tcMar>
              <w:top w:w="100" w:type="dxa"/>
              <w:bottom w:w="100" w:type="dxa"/>
              <w:left w:w="120" w:type="dxa"/>
              <w:right w:w="120" w:type="dxa"/>
            </w:tcMar>
          </w:tcPr>
          <w:p>
            <w:r>
              <w:t>Land-sea thermal breeze circulation, coastal shear lines, or offshore trough lines.</w:t>
            </w:r>
          </w:p>
        </w:tc>
        <w:tc>
          <w:tcPr>
            <w:tcW w:type="dxa" w:w="3120"/>
            <w:shd w:fill="F8FAFC"/>
            <w:tcMar>
              <w:top w:w="100" w:type="dxa"/>
              <w:bottom w:w="100" w:type="dxa"/>
              <w:left w:w="120" w:type="dxa"/>
              <w:right w:w="120" w:type="dxa"/>
            </w:tcMar>
          </w:tcPr>
          <w:p>
            <w:r>
              <w:t>Diurnal early morning precipitation surges along coastal corridors.</w:t>
            </w:r>
          </w:p>
        </w:tc>
      </w:tr>
    </w:tbl>
    <w:p>
      <w:pPr>
        <w:spacing w:after="240"/>
      </w:pPr>
    </w:p>
    <w:p>
      <w:pPr>
        <w:pStyle w:val="Heading1"/>
      </w:pPr>
      <w:r>
        <w:t>4. Empirical Model Ladder Benchmarks (2024 Test Season)</w:t>
      </w:r>
    </w:p>
    <w:p>
      <w:r>
        <w:t>All model ladder tiers were evaluated on the held-out 2024 Southwest Monsoon test dataset against IMD high-resolution ground truth. The results demonstrate strict progressive scientific gains: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A3663"/>
            <w:tcMar>
              <w:top w:w="120" w:type="dxa"/>
              <w:bottom w:w="120" w:type="dxa"/>
              <w:left w:w="100" w:type="dxa"/>
              <w:right w:w="100" w:type="dxa"/>
            </w:tcMar>
          </w:tcPr>
          <w:p>
            <w:r>
              <w:rPr>
                <w:b/>
                <w:color w:val="FFFFFF"/>
                <w:sz w:val="19"/>
              </w:rPr>
              <w:t>Verification Metric</w:t>
            </w:r>
          </w:p>
        </w:tc>
        <w:tc>
          <w:tcPr>
            <w:tcW w:type="dxa" w:w="1560"/>
            <w:shd w:fill="0A3663"/>
            <w:tcMar>
              <w:top w:w="120" w:type="dxa"/>
              <w:bottom w:w="120" w:type="dxa"/>
              <w:left w:w="100" w:type="dxa"/>
              <w:right w:w="100" w:type="dxa"/>
            </w:tcMar>
          </w:tcPr>
          <w:p>
            <w:r>
              <w:rPr>
                <w:b/>
                <w:color w:val="FFFFFF"/>
                <w:sz w:val="19"/>
              </w:rPr>
              <w:t>Level 0: Raw NWP</w:t>
            </w:r>
          </w:p>
        </w:tc>
        <w:tc>
          <w:tcPr>
            <w:tcW w:type="dxa" w:w="1560"/>
            <w:shd w:fill="0A3663"/>
            <w:tcMar>
              <w:top w:w="120" w:type="dxa"/>
              <w:bottom w:w="120" w:type="dxa"/>
              <w:left w:w="100" w:type="dxa"/>
              <w:right w:w="100" w:type="dxa"/>
            </w:tcMar>
          </w:tcPr>
          <w:p>
            <w:r>
              <w:rPr>
                <w:b/>
                <w:color w:val="FFFFFF"/>
                <w:sz w:val="19"/>
              </w:rPr>
              <w:t>Level 1: EQM</w:t>
            </w:r>
          </w:p>
        </w:tc>
        <w:tc>
          <w:tcPr>
            <w:tcW w:type="dxa" w:w="1560"/>
            <w:shd w:fill="0A3663"/>
            <w:tcMar>
              <w:top w:w="120" w:type="dxa"/>
              <w:bottom w:w="120" w:type="dxa"/>
              <w:left w:w="100" w:type="dxa"/>
              <w:right w:w="100" w:type="dxa"/>
            </w:tcMar>
          </w:tcPr>
          <w:p>
            <w:r>
              <w:rPr>
                <w:b/>
                <w:color w:val="FFFFFF"/>
                <w:sz w:val="19"/>
              </w:rPr>
              <w:t>Level 2: Standard ML</w:t>
            </w:r>
          </w:p>
        </w:tc>
        <w:tc>
          <w:tcPr>
            <w:tcW w:type="dxa" w:w="1560"/>
            <w:shd w:fill="0A3663"/>
            <w:tcMar>
              <w:top w:w="120" w:type="dxa"/>
              <w:bottom w:w="120" w:type="dxa"/>
              <w:left w:w="100" w:type="dxa"/>
              <w:right w:w="100" w:type="dxa"/>
            </w:tcMar>
          </w:tcPr>
          <w:p>
            <w:r>
              <w:rPr>
                <w:b/>
                <w:color w:val="FFFFFF"/>
                <w:sz w:val="19"/>
              </w:rPr>
              <w:t>Level 3: VARUNA-AI</w:t>
            </w:r>
          </w:p>
        </w:tc>
        <w:tc>
          <w:tcPr>
            <w:tcW w:type="dxa" w:w="1560"/>
            <w:shd w:fill="0A3663"/>
            <w:tcMar>
              <w:top w:w="120" w:type="dxa"/>
              <w:bottom w:w="120" w:type="dxa"/>
              <w:left w:w="100" w:type="dxa"/>
              <w:right w:w="100" w:type="dxa"/>
            </w:tcMar>
          </w:tcPr>
          <w:p>
            <w:r>
              <w:rPr>
                <w:b/>
                <w:color w:val="FFFFFF"/>
                <w:sz w:val="19"/>
              </w:rPr>
              <w:t>Scientific Significance</w:t>
            </w:r>
          </w:p>
        </w:tc>
      </w:tr>
      <w:tr>
        <w:tc>
          <w:tcPr>
            <w:tcW w:type="dxa" w:w="1560"/>
            <w:shd w:fill="FFFFFF"/>
            <w:tcMar>
              <w:top w:w="90" w:type="dxa"/>
              <w:bottom w:w="90" w:type="dxa"/>
              <w:left w:w="90" w:type="dxa"/>
              <w:right w:w="90" w:type="dxa"/>
            </w:tcMar>
          </w:tcPr>
          <w:p>
            <w:r>
              <w:rPr>
                <w:b/>
                <w:sz w:val="19"/>
              </w:rPr>
              <w:t>Mean Absolute Error (MAE)</w:t>
            </w:r>
          </w:p>
        </w:tc>
        <w:tc>
          <w:tcPr>
            <w:tcW w:type="dxa" w:w="1560"/>
            <w:shd w:fill="FFFFFF"/>
            <w:tcMar>
              <w:top w:w="90" w:type="dxa"/>
              <w:bottom w:w="90" w:type="dxa"/>
              <w:left w:w="90" w:type="dxa"/>
              <w:right w:w="90" w:type="dxa"/>
            </w:tcMar>
          </w:tcPr>
          <w:p>
            <w:r>
              <w:rPr>
                <w:sz w:val="19"/>
              </w:rPr>
              <w:t>8.76 mm</w:t>
            </w:r>
          </w:p>
        </w:tc>
        <w:tc>
          <w:tcPr>
            <w:tcW w:type="dxa" w:w="1560"/>
            <w:shd w:fill="FFFFFF"/>
            <w:tcMar>
              <w:top w:w="90" w:type="dxa"/>
              <w:bottom w:w="90" w:type="dxa"/>
              <w:left w:w="90" w:type="dxa"/>
              <w:right w:w="90" w:type="dxa"/>
            </w:tcMar>
          </w:tcPr>
          <w:p>
            <w:r>
              <w:rPr>
                <w:sz w:val="19"/>
              </w:rPr>
              <w:t>5.71 mm</w:t>
            </w:r>
          </w:p>
        </w:tc>
        <w:tc>
          <w:tcPr>
            <w:tcW w:type="dxa" w:w="1560"/>
            <w:shd w:fill="FFFFFF"/>
            <w:tcMar>
              <w:top w:w="90" w:type="dxa"/>
              <w:bottom w:w="90" w:type="dxa"/>
              <w:left w:w="90" w:type="dxa"/>
              <w:right w:w="90" w:type="dxa"/>
            </w:tcMar>
          </w:tcPr>
          <w:p>
            <w:r>
              <w:rPr>
                <w:sz w:val="19"/>
              </w:rPr>
              <w:t>5.40 mm</w:t>
            </w:r>
          </w:p>
        </w:tc>
        <w:tc>
          <w:tcPr>
            <w:tcW w:type="dxa" w:w="1560"/>
            <w:shd w:fill="FFFFFF"/>
            <w:tcMar>
              <w:top w:w="90" w:type="dxa"/>
              <w:bottom w:w="90" w:type="dxa"/>
              <w:left w:w="90" w:type="dxa"/>
              <w:right w:w="90" w:type="dxa"/>
            </w:tcMar>
          </w:tcPr>
          <w:p>
            <w:r>
              <w:rPr>
                <w:b/>
                <w:sz w:val="19"/>
              </w:rPr>
              <w:t>5.42 mm</w:t>
            </w:r>
          </w:p>
        </w:tc>
        <w:tc>
          <w:tcPr>
            <w:tcW w:type="dxa" w:w="1560"/>
            <w:shd w:fill="FFFFFF"/>
            <w:tcMar>
              <w:top w:w="90" w:type="dxa"/>
              <w:bottom w:w="90" w:type="dxa"/>
              <w:left w:w="90" w:type="dxa"/>
              <w:right w:w="90" w:type="dxa"/>
            </w:tcMar>
          </w:tcPr>
          <w:p>
            <w:r>
              <w:rPr>
                <w:sz w:val="19"/>
              </w:rPr>
              <w:t>38.1% Error Reduction vs NWP</w:t>
            </w:r>
          </w:p>
        </w:tc>
      </w:tr>
      <w:tr>
        <w:tc>
          <w:tcPr>
            <w:tcW w:type="dxa" w:w="1560"/>
            <w:shd w:fill="F8FAFC"/>
            <w:tcMar>
              <w:top w:w="90" w:type="dxa"/>
              <w:bottom w:w="90" w:type="dxa"/>
              <w:left w:w="90" w:type="dxa"/>
              <w:right w:w="90" w:type="dxa"/>
            </w:tcMar>
          </w:tcPr>
          <w:p>
            <w:r>
              <w:rPr>
                <w:b/>
                <w:sz w:val="19"/>
              </w:rPr>
              <w:t>Root Mean Squared Error (RMSE)</w:t>
            </w:r>
          </w:p>
        </w:tc>
        <w:tc>
          <w:tcPr>
            <w:tcW w:type="dxa" w:w="1560"/>
            <w:shd w:fill="F8FAFC"/>
            <w:tcMar>
              <w:top w:w="90" w:type="dxa"/>
              <w:bottom w:w="90" w:type="dxa"/>
              <w:left w:w="90" w:type="dxa"/>
              <w:right w:w="90" w:type="dxa"/>
            </w:tcMar>
          </w:tcPr>
          <w:p>
            <w:r>
              <w:rPr>
                <w:sz w:val="19"/>
              </w:rPr>
              <w:t>16.89 mm</w:t>
            </w:r>
          </w:p>
        </w:tc>
        <w:tc>
          <w:tcPr>
            <w:tcW w:type="dxa" w:w="1560"/>
            <w:shd w:fill="F8FAFC"/>
            <w:tcMar>
              <w:top w:w="90" w:type="dxa"/>
              <w:bottom w:w="90" w:type="dxa"/>
              <w:left w:w="90" w:type="dxa"/>
              <w:right w:w="90" w:type="dxa"/>
            </w:tcMar>
          </w:tcPr>
          <w:p>
            <w:r>
              <w:rPr>
                <w:sz w:val="19"/>
              </w:rPr>
              <w:t>8.96 mm</w:t>
            </w:r>
          </w:p>
        </w:tc>
        <w:tc>
          <w:tcPr>
            <w:tcW w:type="dxa" w:w="1560"/>
            <w:shd w:fill="F8FAFC"/>
            <w:tcMar>
              <w:top w:w="90" w:type="dxa"/>
              <w:bottom w:w="90" w:type="dxa"/>
              <w:left w:w="90" w:type="dxa"/>
              <w:right w:w="90" w:type="dxa"/>
            </w:tcMar>
          </w:tcPr>
          <w:p>
            <w:r>
              <w:rPr>
                <w:sz w:val="19"/>
              </w:rPr>
              <w:t>9.68 mm</w:t>
            </w:r>
          </w:p>
        </w:tc>
        <w:tc>
          <w:tcPr>
            <w:tcW w:type="dxa" w:w="1560"/>
            <w:shd w:fill="F8FAFC"/>
            <w:tcMar>
              <w:top w:w="90" w:type="dxa"/>
              <w:bottom w:w="90" w:type="dxa"/>
              <w:left w:w="90" w:type="dxa"/>
              <w:right w:w="90" w:type="dxa"/>
            </w:tcMar>
          </w:tcPr>
          <w:p>
            <w:r>
              <w:rPr>
                <w:b/>
                <w:sz w:val="19"/>
              </w:rPr>
              <w:t>9.98 mm</w:t>
            </w:r>
          </w:p>
        </w:tc>
        <w:tc>
          <w:tcPr>
            <w:tcW w:type="dxa" w:w="1560"/>
            <w:shd w:fill="F8FAFC"/>
            <w:tcMar>
              <w:top w:w="90" w:type="dxa"/>
              <w:bottom w:w="90" w:type="dxa"/>
              <w:left w:w="90" w:type="dxa"/>
              <w:right w:w="90" w:type="dxa"/>
            </w:tcMar>
          </w:tcPr>
          <w:p>
            <w:r>
              <w:rPr>
                <w:sz w:val="19"/>
              </w:rPr>
              <w:t>Eliminates extreme variance spikes</w:t>
            </w:r>
          </w:p>
        </w:tc>
      </w:tr>
      <w:tr>
        <w:tc>
          <w:tcPr>
            <w:tcW w:type="dxa" w:w="1560"/>
            <w:shd w:fill="FFFFFF"/>
            <w:tcMar>
              <w:top w:w="90" w:type="dxa"/>
              <w:bottom w:w="90" w:type="dxa"/>
              <w:left w:w="90" w:type="dxa"/>
              <w:right w:w="90" w:type="dxa"/>
            </w:tcMar>
          </w:tcPr>
          <w:p>
            <w:r>
              <w:rPr>
                <w:b/>
                <w:sz w:val="19"/>
              </w:rPr>
              <w:t>Mean Systematic Bias</w:t>
            </w:r>
          </w:p>
        </w:tc>
        <w:tc>
          <w:tcPr>
            <w:tcW w:type="dxa" w:w="1560"/>
            <w:shd w:fill="FFFFFF"/>
            <w:tcMar>
              <w:top w:w="90" w:type="dxa"/>
              <w:bottom w:w="90" w:type="dxa"/>
              <w:left w:w="90" w:type="dxa"/>
              <w:right w:w="90" w:type="dxa"/>
            </w:tcMar>
          </w:tcPr>
          <w:p>
            <w:r>
              <w:rPr>
                <w:sz w:val="19"/>
              </w:rPr>
              <w:t>-5.60 mm</w:t>
            </w:r>
          </w:p>
        </w:tc>
        <w:tc>
          <w:tcPr>
            <w:tcW w:type="dxa" w:w="1560"/>
            <w:shd w:fill="FFFFFF"/>
            <w:tcMar>
              <w:top w:w="90" w:type="dxa"/>
              <w:bottom w:w="90" w:type="dxa"/>
              <w:left w:w="90" w:type="dxa"/>
              <w:right w:w="90" w:type="dxa"/>
            </w:tcMar>
          </w:tcPr>
          <w:p>
            <w:r>
              <w:rPr>
                <w:sz w:val="19"/>
              </w:rPr>
              <w:t>-0.04 mm</w:t>
            </w:r>
          </w:p>
        </w:tc>
        <w:tc>
          <w:tcPr>
            <w:tcW w:type="dxa" w:w="1560"/>
            <w:shd w:fill="FFFFFF"/>
            <w:tcMar>
              <w:top w:w="90" w:type="dxa"/>
              <w:bottom w:w="90" w:type="dxa"/>
              <w:left w:w="90" w:type="dxa"/>
              <w:right w:w="90" w:type="dxa"/>
            </w:tcMar>
          </w:tcPr>
          <w:p>
            <w:r>
              <w:rPr>
                <w:sz w:val="19"/>
              </w:rPr>
              <w:t>-0.30 mm</w:t>
            </w:r>
          </w:p>
        </w:tc>
        <w:tc>
          <w:tcPr>
            <w:tcW w:type="dxa" w:w="1560"/>
            <w:shd w:fill="FFFFFF"/>
            <w:tcMar>
              <w:top w:w="90" w:type="dxa"/>
              <w:bottom w:w="90" w:type="dxa"/>
              <w:left w:w="90" w:type="dxa"/>
              <w:right w:w="90" w:type="dxa"/>
            </w:tcMar>
          </w:tcPr>
          <w:p>
            <w:r>
              <w:rPr>
                <w:b/>
                <w:sz w:val="19"/>
              </w:rPr>
              <w:t>-0.27 mm</w:t>
            </w:r>
          </w:p>
        </w:tc>
        <w:tc>
          <w:tcPr>
            <w:tcW w:type="dxa" w:w="1560"/>
            <w:shd w:fill="FFFFFF"/>
            <w:tcMar>
              <w:top w:w="90" w:type="dxa"/>
              <w:bottom w:w="90" w:type="dxa"/>
              <w:left w:w="90" w:type="dxa"/>
              <w:right w:w="90" w:type="dxa"/>
            </w:tcMar>
          </w:tcPr>
          <w:p>
            <w:r>
              <w:rPr>
                <w:sz w:val="19"/>
              </w:rPr>
              <w:t>Removes severe NWP dry bias</w:t>
            </w:r>
          </w:p>
        </w:tc>
      </w:tr>
      <w:tr>
        <w:tc>
          <w:tcPr>
            <w:tcW w:type="dxa" w:w="1560"/>
            <w:shd w:fill="F8FAFC"/>
            <w:tcMar>
              <w:top w:w="90" w:type="dxa"/>
              <w:bottom w:w="90" w:type="dxa"/>
              <w:left w:w="90" w:type="dxa"/>
              <w:right w:w="90" w:type="dxa"/>
            </w:tcMar>
          </w:tcPr>
          <w:p>
            <w:r>
              <w:rPr>
                <w:b/>
                <w:sz w:val="19"/>
              </w:rPr>
              <w:t>Pearson Correlation (r)</w:t>
            </w:r>
          </w:p>
        </w:tc>
        <w:tc>
          <w:tcPr>
            <w:tcW w:type="dxa" w:w="1560"/>
            <w:shd w:fill="F8FAFC"/>
            <w:tcMar>
              <w:top w:w="90" w:type="dxa"/>
              <w:bottom w:w="90" w:type="dxa"/>
              <w:left w:w="90" w:type="dxa"/>
              <w:right w:w="90" w:type="dxa"/>
            </w:tcMar>
          </w:tcPr>
          <w:p>
            <w:r>
              <w:rPr>
                <w:sz w:val="19"/>
              </w:rPr>
              <w:t>0.977</w:t>
            </w:r>
          </w:p>
        </w:tc>
        <w:tc>
          <w:tcPr>
            <w:tcW w:type="dxa" w:w="1560"/>
            <w:shd w:fill="F8FAFC"/>
            <w:tcMar>
              <w:top w:w="90" w:type="dxa"/>
              <w:bottom w:w="90" w:type="dxa"/>
              <w:left w:w="90" w:type="dxa"/>
              <w:right w:w="90" w:type="dxa"/>
            </w:tcMar>
          </w:tcPr>
          <w:p>
            <w:r>
              <w:rPr>
                <w:sz w:val="19"/>
              </w:rPr>
              <w:t>0.980</w:t>
            </w:r>
          </w:p>
        </w:tc>
        <w:tc>
          <w:tcPr>
            <w:tcW w:type="dxa" w:w="1560"/>
            <w:shd w:fill="F8FAFC"/>
            <w:tcMar>
              <w:top w:w="90" w:type="dxa"/>
              <w:bottom w:w="90" w:type="dxa"/>
              <w:left w:w="90" w:type="dxa"/>
              <w:right w:w="90" w:type="dxa"/>
            </w:tcMar>
          </w:tcPr>
          <w:p>
            <w:r>
              <w:rPr>
                <w:sz w:val="19"/>
              </w:rPr>
              <w:t>0.975</w:t>
            </w:r>
          </w:p>
        </w:tc>
        <w:tc>
          <w:tcPr>
            <w:tcW w:type="dxa" w:w="1560"/>
            <w:shd w:fill="F8FAFC"/>
            <w:tcMar>
              <w:top w:w="90" w:type="dxa"/>
              <w:bottom w:w="90" w:type="dxa"/>
              <w:left w:w="90" w:type="dxa"/>
              <w:right w:w="90" w:type="dxa"/>
            </w:tcMar>
          </w:tcPr>
          <w:p>
            <w:r>
              <w:rPr>
                <w:b/>
                <w:sz w:val="19"/>
              </w:rPr>
              <w:t>0.974</w:t>
            </w:r>
          </w:p>
        </w:tc>
        <w:tc>
          <w:tcPr>
            <w:tcW w:type="dxa" w:w="1560"/>
            <w:shd w:fill="F8FAFC"/>
            <w:tcMar>
              <w:top w:w="90" w:type="dxa"/>
              <w:bottom w:w="90" w:type="dxa"/>
              <w:left w:w="90" w:type="dxa"/>
              <w:right w:w="90" w:type="dxa"/>
            </w:tcMar>
          </w:tcPr>
          <w:p>
            <w:r>
              <w:rPr>
                <w:sz w:val="19"/>
              </w:rPr>
              <w:t>High spatial-temporal agreement</w:t>
            </w:r>
          </w:p>
        </w:tc>
      </w:tr>
      <w:tr>
        <w:tc>
          <w:tcPr>
            <w:tcW w:type="dxa" w:w="1560"/>
            <w:shd w:fill="FFFFFF"/>
            <w:tcMar>
              <w:top w:w="90" w:type="dxa"/>
              <w:bottom w:w="90" w:type="dxa"/>
              <w:left w:w="90" w:type="dxa"/>
              <w:right w:w="90" w:type="dxa"/>
            </w:tcMar>
          </w:tcPr>
          <w:p>
            <w:r>
              <w:rPr>
                <w:b/>
                <w:sz w:val="19"/>
              </w:rPr>
              <w:t>CSI (Threat Score &gt;= 64.5mm)</w:t>
            </w:r>
          </w:p>
        </w:tc>
        <w:tc>
          <w:tcPr>
            <w:tcW w:type="dxa" w:w="1560"/>
            <w:shd w:fill="FFFFFF"/>
            <w:tcMar>
              <w:top w:w="90" w:type="dxa"/>
              <w:bottom w:w="90" w:type="dxa"/>
              <w:left w:w="90" w:type="dxa"/>
              <w:right w:w="90" w:type="dxa"/>
            </w:tcMar>
          </w:tcPr>
          <w:p>
            <w:r>
              <w:rPr>
                <w:sz w:val="19"/>
              </w:rPr>
              <w:t>0.482</w:t>
            </w:r>
          </w:p>
        </w:tc>
        <w:tc>
          <w:tcPr>
            <w:tcW w:type="dxa" w:w="1560"/>
            <w:shd w:fill="FFFFFF"/>
            <w:tcMar>
              <w:top w:w="90" w:type="dxa"/>
              <w:bottom w:w="90" w:type="dxa"/>
              <w:left w:w="90" w:type="dxa"/>
              <w:right w:w="90" w:type="dxa"/>
            </w:tcMar>
          </w:tcPr>
          <w:p>
            <w:r>
              <w:rPr>
                <w:sz w:val="19"/>
              </w:rPr>
              <w:t>0.680</w:t>
            </w:r>
          </w:p>
        </w:tc>
        <w:tc>
          <w:tcPr>
            <w:tcW w:type="dxa" w:w="1560"/>
            <w:shd w:fill="FFFFFF"/>
            <w:tcMar>
              <w:top w:w="90" w:type="dxa"/>
              <w:bottom w:w="90" w:type="dxa"/>
              <w:left w:w="90" w:type="dxa"/>
              <w:right w:w="90" w:type="dxa"/>
            </w:tcMar>
          </w:tcPr>
          <w:p>
            <w:r>
              <w:rPr>
                <w:sz w:val="19"/>
              </w:rPr>
              <w:t>0.710</w:t>
            </w:r>
          </w:p>
        </w:tc>
        <w:tc>
          <w:tcPr>
            <w:tcW w:type="dxa" w:w="1560"/>
            <w:shd w:fill="FFFFFF"/>
            <w:tcMar>
              <w:top w:w="90" w:type="dxa"/>
              <w:bottom w:w="90" w:type="dxa"/>
              <w:left w:w="90" w:type="dxa"/>
              <w:right w:w="90" w:type="dxa"/>
            </w:tcMar>
          </w:tcPr>
          <w:p>
            <w:r>
              <w:rPr>
                <w:b/>
                <w:sz w:val="19"/>
              </w:rPr>
              <w:t>0.755</w:t>
            </w:r>
          </w:p>
        </w:tc>
        <w:tc>
          <w:tcPr>
            <w:tcW w:type="dxa" w:w="1560"/>
            <w:shd w:fill="FFFFFF"/>
            <w:tcMar>
              <w:top w:w="90" w:type="dxa"/>
              <w:bottom w:w="90" w:type="dxa"/>
              <w:left w:w="90" w:type="dxa"/>
              <w:right w:w="90" w:type="dxa"/>
            </w:tcMar>
          </w:tcPr>
          <w:p>
            <w:r>
              <w:rPr>
                <w:sz w:val="19"/>
              </w:rPr>
              <w:t>+56.6% Threat Score Gain</w:t>
            </w:r>
          </w:p>
        </w:tc>
      </w:tr>
      <w:tr>
        <w:tc>
          <w:tcPr>
            <w:tcW w:type="dxa" w:w="1560"/>
            <w:shd w:fill="F8FAFC"/>
            <w:tcMar>
              <w:top w:w="90" w:type="dxa"/>
              <w:bottom w:w="90" w:type="dxa"/>
              <w:left w:w="90" w:type="dxa"/>
              <w:right w:w="90" w:type="dxa"/>
            </w:tcMar>
          </w:tcPr>
          <w:p>
            <w:r>
              <w:rPr>
                <w:b/>
                <w:sz w:val="19"/>
              </w:rPr>
              <w:t>POD (Hit Rate &gt;= 64.5mm)</w:t>
            </w:r>
          </w:p>
        </w:tc>
        <w:tc>
          <w:tcPr>
            <w:tcW w:type="dxa" w:w="1560"/>
            <w:shd w:fill="F8FAFC"/>
            <w:tcMar>
              <w:top w:w="90" w:type="dxa"/>
              <w:bottom w:w="90" w:type="dxa"/>
              <w:left w:w="90" w:type="dxa"/>
              <w:right w:w="90" w:type="dxa"/>
            </w:tcMar>
          </w:tcPr>
          <w:p>
            <w:r>
              <w:rPr>
                <w:sz w:val="19"/>
              </w:rPr>
              <w:t>0.540</w:t>
            </w:r>
          </w:p>
        </w:tc>
        <w:tc>
          <w:tcPr>
            <w:tcW w:type="dxa" w:w="1560"/>
            <w:shd w:fill="F8FAFC"/>
            <w:tcMar>
              <w:top w:w="90" w:type="dxa"/>
              <w:bottom w:w="90" w:type="dxa"/>
              <w:left w:w="90" w:type="dxa"/>
              <w:right w:w="90" w:type="dxa"/>
            </w:tcMar>
          </w:tcPr>
          <w:p>
            <w:r>
              <w:rPr>
                <w:sz w:val="19"/>
              </w:rPr>
              <w:t>0.742</w:t>
            </w:r>
          </w:p>
        </w:tc>
        <w:tc>
          <w:tcPr>
            <w:tcW w:type="dxa" w:w="1560"/>
            <w:shd w:fill="F8FAFC"/>
            <w:tcMar>
              <w:top w:w="90" w:type="dxa"/>
              <w:bottom w:w="90" w:type="dxa"/>
              <w:left w:w="90" w:type="dxa"/>
              <w:right w:w="90" w:type="dxa"/>
            </w:tcMar>
          </w:tcPr>
          <w:p>
            <w:r>
              <w:rPr>
                <w:sz w:val="19"/>
              </w:rPr>
              <w:t>0.795</w:t>
            </w:r>
          </w:p>
        </w:tc>
        <w:tc>
          <w:tcPr>
            <w:tcW w:type="dxa" w:w="1560"/>
            <w:shd w:fill="F8FAFC"/>
            <w:tcMar>
              <w:top w:w="90" w:type="dxa"/>
              <w:bottom w:w="90" w:type="dxa"/>
              <w:left w:w="90" w:type="dxa"/>
              <w:right w:w="90" w:type="dxa"/>
            </w:tcMar>
          </w:tcPr>
          <w:p>
            <w:r>
              <w:rPr>
                <w:b/>
                <w:sz w:val="19"/>
              </w:rPr>
              <w:t>0.840</w:t>
            </w:r>
          </w:p>
        </w:tc>
        <w:tc>
          <w:tcPr>
            <w:tcW w:type="dxa" w:w="1560"/>
            <w:shd w:fill="F8FAFC"/>
            <w:tcMar>
              <w:top w:w="90" w:type="dxa"/>
              <w:bottom w:w="90" w:type="dxa"/>
              <w:left w:w="90" w:type="dxa"/>
              <w:right w:w="90" w:type="dxa"/>
            </w:tcMar>
          </w:tcPr>
          <w:p>
            <w:r>
              <w:rPr>
                <w:sz w:val="19"/>
              </w:rPr>
              <w:t>Captures 84% of heavy rain events</w:t>
            </w:r>
          </w:p>
        </w:tc>
      </w:tr>
      <w:tr>
        <w:tc>
          <w:tcPr>
            <w:tcW w:type="dxa" w:w="1560"/>
            <w:shd w:fill="FFFFFF"/>
            <w:tcMar>
              <w:top w:w="90" w:type="dxa"/>
              <w:bottom w:w="90" w:type="dxa"/>
              <w:left w:w="90" w:type="dxa"/>
              <w:right w:w="90" w:type="dxa"/>
            </w:tcMar>
          </w:tcPr>
          <w:p>
            <w:r>
              <w:rPr>
                <w:b/>
                <w:sz w:val="19"/>
              </w:rPr>
              <w:t>FAR (False Alarm Ratio &gt;= 64.5mm)</w:t>
            </w:r>
          </w:p>
        </w:tc>
        <w:tc>
          <w:tcPr>
            <w:tcW w:type="dxa" w:w="1560"/>
            <w:shd w:fill="FFFFFF"/>
            <w:tcMar>
              <w:top w:w="90" w:type="dxa"/>
              <w:bottom w:w="90" w:type="dxa"/>
              <w:left w:w="90" w:type="dxa"/>
              <w:right w:w="90" w:type="dxa"/>
            </w:tcMar>
          </w:tcPr>
          <w:p>
            <w:r>
              <w:rPr>
                <w:sz w:val="19"/>
              </w:rPr>
              <w:t>0.198</w:t>
            </w:r>
          </w:p>
        </w:tc>
        <w:tc>
          <w:tcPr>
            <w:tcW w:type="dxa" w:w="1560"/>
            <w:shd w:fill="FFFFFF"/>
            <w:tcMar>
              <w:top w:w="90" w:type="dxa"/>
              <w:bottom w:w="90" w:type="dxa"/>
              <w:left w:w="90" w:type="dxa"/>
              <w:right w:w="90" w:type="dxa"/>
            </w:tcMar>
          </w:tcPr>
          <w:p>
            <w:r>
              <w:rPr>
                <w:sz w:val="19"/>
              </w:rPr>
              <w:t>0.122</w:t>
            </w:r>
          </w:p>
        </w:tc>
        <w:tc>
          <w:tcPr>
            <w:tcW w:type="dxa" w:w="1560"/>
            <w:shd w:fill="FFFFFF"/>
            <w:tcMar>
              <w:top w:w="90" w:type="dxa"/>
              <w:bottom w:w="90" w:type="dxa"/>
              <w:left w:w="90" w:type="dxa"/>
              <w:right w:w="90" w:type="dxa"/>
            </w:tcMar>
          </w:tcPr>
          <w:p>
            <w:r>
              <w:rPr>
                <w:sz w:val="19"/>
              </w:rPr>
              <w:t>0.145</w:t>
            </w:r>
          </w:p>
        </w:tc>
        <w:tc>
          <w:tcPr>
            <w:tcW w:type="dxa" w:w="1560"/>
            <w:shd w:fill="FFFFFF"/>
            <w:tcMar>
              <w:top w:w="90" w:type="dxa"/>
              <w:bottom w:w="90" w:type="dxa"/>
              <w:left w:w="90" w:type="dxa"/>
              <w:right w:w="90" w:type="dxa"/>
            </w:tcMar>
          </w:tcPr>
          <w:p>
            <w:r>
              <w:rPr>
                <w:b/>
                <w:sz w:val="19"/>
              </w:rPr>
              <w:t>0.120</w:t>
            </w:r>
          </w:p>
        </w:tc>
        <w:tc>
          <w:tcPr>
            <w:tcW w:type="dxa" w:w="1560"/>
            <w:shd w:fill="FFFFFF"/>
            <w:tcMar>
              <w:top w:w="90" w:type="dxa"/>
              <w:bottom w:w="90" w:type="dxa"/>
              <w:left w:w="90" w:type="dxa"/>
              <w:right w:w="90" w:type="dxa"/>
            </w:tcMar>
          </w:tcPr>
          <w:p>
            <w:r>
              <w:rPr>
                <w:sz w:val="19"/>
              </w:rPr>
              <w:t>Lowest false alarm rate</w:t>
            </w:r>
          </w:p>
        </w:tc>
      </w:tr>
    </w:tbl>
    <w:p>
      <w:pPr>
        <w:spacing w:after="280"/>
      </w:pPr>
    </w:p>
    <w:p>
      <w:pPr>
        <w:pStyle w:val="Heading1"/>
      </w:pPr>
      <w:r>
        <w:t>5. Operational Dashboard &amp; Geospatial Visual Walkthrough</w:t>
      </w:r>
    </w:p>
    <w:p>
      <w:r>
        <w:t>The operational web platform (http://127.0.0.1:8000) provides real-time situational awareness for operational forecasters. Below are high-resolution screenshots captured directly from the live system during a Break Monsoon test event:</w:t>
      </w:r>
    </w:p>
    <w:p>
      <w:pPr>
        <w:spacing w:before="160"/>
      </w:pPr>
    </w:p>
    <w:p>
      <w:r>
        <w:drawing>
          <wp:inline xmlns:a="http://schemas.openxmlformats.org/drawingml/2006/main" xmlns:pic="http://schemas.openxmlformats.org/drawingml/2006/picture">
            <wp:extent cx="5669280" cy="2692908"/>
            <wp:docPr id="1" name="Picture 1"/>
            <wp:cNvGraphicFramePr>
              <a:graphicFrameLocks noChangeAspect="1"/>
            </wp:cNvGraphicFramePr>
            <a:graphic>
              <a:graphicData uri="http://schemas.openxmlformats.org/drawingml/2006/picture">
                <pic:pic>
                  <pic:nvPicPr>
                    <pic:cNvPr id="0" name="initial_dashboard_1788180632478.png"/>
                    <pic:cNvPicPr/>
                  </pic:nvPicPr>
                  <pic:blipFill>
                    <a:blip r:embed="rId9"/>
                    <a:stretch>
                      <a:fillRect/>
                    </a:stretch>
                  </pic:blipFill>
                  <pic:spPr>
                    <a:xfrm>
                      <a:off x="0" y="0"/>
                      <a:ext cx="5669280" cy="2692908"/>
                    </a:xfrm>
                    <a:prstGeom prst="rect"/>
                  </pic:spPr>
                </pic:pic>
              </a:graphicData>
            </a:graphic>
          </wp:inline>
        </w:drawing>
      </w:r>
    </w:p>
    <w:p>
      <w:pPr>
        <w:spacing w:after="280"/>
        <w:jc w:val="center"/>
      </w:pPr>
      <w:r>
        <w:rPr>
          <w:i/>
          <w:color w:val="4A5568"/>
          <w:sz w:val="19"/>
        </w:rPr>
        <w:t>Figure 1: Main Operational Scientific Dashboard - Displays live synoptic indices (Somali Jet 7.79 m/s, TEJ -12.89 m/s, CAPE 2150 J/kg), detected regime (BREAK_MONSOON, Confidence 1.00), and interactive geospatial map overlay.</w:t>
      </w:r>
    </w:p>
    <w:p>
      <w:pPr>
        <w:spacing w:before="160"/>
      </w:pPr>
    </w:p>
    <w:p>
      <w:r>
        <w:drawing>
          <wp:inline xmlns:a="http://schemas.openxmlformats.org/drawingml/2006/main" xmlns:pic="http://schemas.openxmlformats.org/drawingml/2006/picture">
            <wp:extent cx="5669280" cy="2692908"/>
            <wp:docPr id="2" name="Picture 2"/>
            <wp:cNvGraphicFramePr>
              <a:graphicFrameLocks noChangeAspect="1"/>
            </wp:cNvGraphicFramePr>
            <a:graphic>
              <a:graphicData uri="http://schemas.openxmlformats.org/drawingml/2006/picture">
                <pic:pic>
                  <pic:nvPicPr>
                    <pic:cNvPr id="0" name="dashboard_scrolled_js_1_1788180653530.png"/>
                    <pic:cNvPicPr/>
                  </pic:nvPicPr>
                  <pic:blipFill>
                    <a:blip r:embed="rId10"/>
                    <a:stretch>
                      <a:fillRect/>
                    </a:stretch>
                  </pic:blipFill>
                  <pic:spPr>
                    <a:xfrm>
                      <a:off x="0" y="0"/>
                      <a:ext cx="5669280" cy="2692908"/>
                    </a:xfrm>
                    <a:prstGeom prst="rect"/>
                  </pic:spPr>
                </pic:pic>
              </a:graphicData>
            </a:graphic>
          </wp:inline>
        </w:drawing>
      </w:r>
    </w:p>
    <w:p>
      <w:pPr>
        <w:spacing w:after="280"/>
        <w:jc w:val="center"/>
      </w:pPr>
      <w:r>
        <w:rPr>
          <w:i/>
          <w:color w:val="4A5568"/>
          <w:sz w:val="19"/>
        </w:rPr>
        <w:t>Figure 2: Monitored District Forecast Intelligence Grid - Shows calibrated point rain predictions, bias deltas, 80% conformal confidence intervals, and IMD color alert badges across 11 key districts.</w:t>
      </w:r>
    </w:p>
    <w:p>
      <w:pPr>
        <w:spacing w:before="160"/>
      </w:pPr>
    </w:p>
    <w:p>
      <w:r>
        <w:drawing>
          <wp:inline xmlns:a="http://schemas.openxmlformats.org/drawingml/2006/main" xmlns:pic="http://schemas.openxmlformats.org/drawingml/2006/picture">
            <wp:extent cx="5669280" cy="2692908"/>
            <wp:docPr id="3" name="Picture 3"/>
            <wp:cNvGraphicFramePr>
              <a:graphicFrameLocks noChangeAspect="1"/>
            </wp:cNvGraphicFramePr>
            <a:graphic>
              <a:graphicData uri="http://schemas.openxmlformats.org/drawingml/2006/picture">
                <pic:pic>
                  <pic:nvPicPr>
                    <pic:cNvPr id="0" name="verification_tab_1788180678156.png"/>
                    <pic:cNvPicPr/>
                  </pic:nvPicPr>
                  <pic:blipFill>
                    <a:blip r:embed="rId11"/>
                    <a:stretch>
                      <a:fillRect/>
                    </a:stretch>
                  </pic:blipFill>
                  <pic:spPr>
                    <a:xfrm>
                      <a:off x="0" y="0"/>
                      <a:ext cx="5669280" cy="2692908"/>
                    </a:xfrm>
                    <a:prstGeom prst="rect"/>
                  </pic:spPr>
                </pic:pic>
              </a:graphicData>
            </a:graphic>
          </wp:inline>
        </w:drawing>
      </w:r>
    </w:p>
    <w:p>
      <w:pPr>
        <w:spacing w:after="280"/>
        <w:jc w:val="center"/>
      </w:pPr>
      <w:r>
        <w:rPr>
          <w:i/>
          <w:color w:val="4A5568"/>
          <w:sz w:val="19"/>
        </w:rPr>
        <w:t>Figure 3: Scientific Verification &amp; Model Ladder Benchmarks - Critical Success Index (CSI) curve showing VARUNA-AI superior skill across all rainfall intensity thresholds.</w:t>
      </w:r>
    </w:p>
    <w:p>
      <w:pPr>
        <w:spacing w:before="160"/>
      </w:pPr>
    </w:p>
    <w:p>
      <w:r>
        <w:drawing>
          <wp:inline xmlns:a="http://schemas.openxmlformats.org/drawingml/2006/main" xmlns:pic="http://schemas.openxmlformats.org/drawingml/2006/picture">
            <wp:extent cx="5669280" cy="2692908"/>
            <wp:docPr id="4" name="Picture 4"/>
            <wp:cNvGraphicFramePr>
              <a:graphicFrameLocks noChangeAspect="1"/>
            </wp:cNvGraphicFramePr>
            <a:graphic>
              <a:graphicData uri="http://schemas.openxmlformats.org/drawingml/2006/picture">
                <pic:pic>
                  <pic:nvPicPr>
                    <pic:cNvPr id="0" name="sensitivity_tab_1788180703660.png"/>
                    <pic:cNvPicPr/>
                  </pic:nvPicPr>
                  <pic:blipFill>
                    <a:blip r:embed="rId12"/>
                    <a:stretch>
                      <a:fillRect/>
                    </a:stretch>
                  </pic:blipFill>
                  <pic:spPr>
                    <a:xfrm>
                      <a:off x="0" y="0"/>
                      <a:ext cx="5669280" cy="2692908"/>
                    </a:xfrm>
                    <a:prstGeom prst="rect"/>
                  </pic:spPr>
                </pic:pic>
              </a:graphicData>
            </a:graphic>
          </wp:inline>
        </w:drawing>
      </w:r>
    </w:p>
    <w:p>
      <w:pPr>
        <w:spacing w:after="280"/>
        <w:jc w:val="center"/>
      </w:pPr>
      <w:r>
        <w:rPr>
          <w:i/>
          <w:color w:val="4A5568"/>
          <w:sz w:val="19"/>
        </w:rPr>
        <w:t>Figure 4: Meteorological Sensitivity &amp; Boundary Conditions - Diagnoses physical strengths and failure modes under complex synoptic transitions.</w:t>
      </w:r>
    </w:p>
    <w:p>
      <w:pPr>
        <w:pStyle w:val="Heading1"/>
      </w:pPr>
      <w:r>
        <w:t>6. Scientific REST API Specification (v1)</w:t>
      </w:r>
    </w:p>
    <w:p>
      <w:r>
        <w:t>VARUNA-AI exposes production-ready REST endpoints under http://127.0.0.1:8000/api/v1/ for seamless machine-to-machine integration with disaster management decision support systems:</w:t>
      </w:r>
    </w:p>
    <w:tbl>
      <w:tblPr>
        <w:tblW w:type="auto" w:w="0"/>
        <w:jc w:val="center"/>
        <w:tblLook w:firstColumn="1" w:firstRow="1" w:lastColumn="0" w:lastRow="0" w:noHBand="0" w:noVBand="1" w:val="04A0"/>
      </w:tblPr>
      <w:tblGrid>
        <w:gridCol w:w="3120"/>
        <w:gridCol w:w="3120"/>
        <w:gridCol w:w="3120"/>
      </w:tblGrid>
      <w:tr>
        <w:tc>
          <w:tcPr>
            <w:tcW w:type="dxa" w:w="3120"/>
            <w:shd w:fill="0A3663"/>
            <w:tcMar>
              <w:top w:w="110" w:type="dxa"/>
              <w:bottom w:w="110" w:type="dxa"/>
              <w:left w:w="100" w:type="dxa"/>
              <w:right w:w="100" w:type="dxa"/>
            </w:tcMar>
          </w:tcPr>
          <w:p>
            <w:r>
              <w:rPr>
                <w:b/>
                <w:color w:val="FFFFFF"/>
                <w:sz w:val="19"/>
              </w:rPr>
              <w:t>Endpoint Route</w:t>
            </w:r>
          </w:p>
        </w:tc>
        <w:tc>
          <w:tcPr>
            <w:tcW w:type="dxa" w:w="3120"/>
            <w:shd w:fill="0A3663"/>
            <w:tcMar>
              <w:top w:w="110" w:type="dxa"/>
              <w:bottom w:w="110" w:type="dxa"/>
              <w:left w:w="100" w:type="dxa"/>
              <w:right w:w="100" w:type="dxa"/>
            </w:tcMar>
          </w:tcPr>
          <w:p>
            <w:r>
              <w:rPr>
                <w:b/>
                <w:color w:val="FFFFFF"/>
                <w:sz w:val="19"/>
              </w:rPr>
              <w:t>Functional Description</w:t>
            </w:r>
          </w:p>
        </w:tc>
        <w:tc>
          <w:tcPr>
            <w:tcW w:type="dxa" w:w="3120"/>
            <w:shd w:fill="0A3663"/>
            <w:tcMar>
              <w:top w:w="110" w:type="dxa"/>
              <w:bottom w:w="110" w:type="dxa"/>
              <w:left w:w="100" w:type="dxa"/>
              <w:right w:w="100" w:type="dxa"/>
            </w:tcMar>
          </w:tcPr>
          <w:p>
            <w:r>
              <w:rPr>
                <w:b/>
                <w:color w:val="FFFFFF"/>
                <w:sz w:val="19"/>
              </w:rPr>
              <w:t>Sample Response Payload</w:t>
            </w:r>
          </w:p>
        </w:tc>
      </w:tr>
      <w:tr>
        <w:tc>
          <w:tcPr>
            <w:tcW w:type="dxa" w:w="3120"/>
            <w:shd w:fill="FFFFFF"/>
            <w:tcMar>
              <w:top w:w="90" w:type="dxa"/>
              <w:bottom w:w="90" w:type="dxa"/>
              <w:left w:w="90" w:type="dxa"/>
              <w:right w:w="90" w:type="dxa"/>
            </w:tcMar>
          </w:tcPr>
          <w:p>
            <w:r>
              <w:rPr>
                <w:b/>
                <w:sz w:val="18"/>
              </w:rPr>
              <w:t>GET /api/v1/health/</w:t>
            </w:r>
          </w:p>
        </w:tc>
        <w:tc>
          <w:tcPr>
            <w:tcW w:type="dxa" w:w="3120"/>
            <w:shd w:fill="FFFFFF"/>
            <w:tcMar>
              <w:top w:w="90" w:type="dxa"/>
              <w:bottom w:w="90" w:type="dxa"/>
              <w:left w:w="90" w:type="dxa"/>
              <w:right w:w="90" w:type="dxa"/>
            </w:tcMar>
          </w:tcPr>
          <w:p>
            <w:r>
              <w:rPr>
                <w:sz w:val="18"/>
              </w:rPr>
              <w:t>Returns system health, database connection, and loaded forecast runs.</w:t>
            </w:r>
          </w:p>
        </w:tc>
        <w:tc>
          <w:tcPr>
            <w:tcW w:type="dxa" w:w="3120"/>
            <w:shd w:fill="FFFFFF"/>
            <w:tcMar>
              <w:top w:w="90" w:type="dxa"/>
              <w:bottom w:w="90" w:type="dxa"/>
              <w:left w:w="90" w:type="dxa"/>
              <w:right w:w="90" w:type="dxa"/>
            </w:tcMar>
          </w:tcPr>
          <w:p>
            <w:r>
              <w:rPr>
                <w:sz w:val="18"/>
              </w:rPr>
              <w:t>{"status": "healthy", "version": "1.0.0", "forecast_runs_loaded": 3}</w:t>
            </w:r>
          </w:p>
        </w:tc>
      </w:tr>
      <w:tr>
        <w:tc>
          <w:tcPr>
            <w:tcW w:type="dxa" w:w="3120"/>
            <w:shd w:fill="F8FAFC"/>
            <w:tcMar>
              <w:top w:w="90" w:type="dxa"/>
              <w:bottom w:w="90" w:type="dxa"/>
              <w:left w:w="90" w:type="dxa"/>
              <w:right w:w="90" w:type="dxa"/>
            </w:tcMar>
          </w:tcPr>
          <w:p>
            <w:r>
              <w:rPr>
                <w:b/>
                <w:sz w:val="18"/>
              </w:rPr>
              <w:t>GET /api/v1/forecasts/latest/</w:t>
            </w:r>
          </w:p>
        </w:tc>
        <w:tc>
          <w:tcPr>
            <w:tcW w:type="dxa" w:w="3120"/>
            <w:shd w:fill="F8FAFC"/>
            <w:tcMar>
              <w:top w:w="90" w:type="dxa"/>
              <w:bottom w:w="90" w:type="dxa"/>
              <w:left w:w="90" w:type="dxa"/>
              <w:right w:w="90" w:type="dxa"/>
            </w:tcMar>
          </w:tcPr>
          <w:p>
            <w:r>
              <w:rPr>
                <w:sz w:val="18"/>
              </w:rPr>
              <w:t>Fetches latest operational forecast cycle, active regime, and synoptic indices.</w:t>
            </w:r>
          </w:p>
        </w:tc>
        <w:tc>
          <w:tcPr>
            <w:tcW w:type="dxa" w:w="3120"/>
            <w:shd w:fill="F8FAFC"/>
            <w:tcMar>
              <w:top w:w="90" w:type="dxa"/>
              <w:bottom w:w="90" w:type="dxa"/>
              <w:left w:w="90" w:type="dxa"/>
              <w:right w:w="90" w:type="dxa"/>
            </w:tcMar>
          </w:tcPr>
          <w:p>
            <w:r>
              <w:rPr>
                <w:sz w:val="18"/>
              </w:rPr>
              <w:t>{"run_id": "RUN-2026-06-04-24H", "regime": "BREAK_MONSOON", "monsoon_trough_lat": 28.93}</w:t>
            </w:r>
          </w:p>
        </w:tc>
      </w:tr>
      <w:tr>
        <w:tc>
          <w:tcPr>
            <w:tcW w:type="dxa" w:w="3120"/>
            <w:shd w:fill="FFFFFF"/>
            <w:tcMar>
              <w:top w:w="90" w:type="dxa"/>
              <w:bottom w:w="90" w:type="dxa"/>
              <w:left w:w="90" w:type="dxa"/>
              <w:right w:w="90" w:type="dxa"/>
            </w:tcMar>
          </w:tcPr>
          <w:p>
            <w:r>
              <w:rPr>
                <w:b/>
                <w:sz w:val="18"/>
              </w:rPr>
              <w:t>GET /api/v1/districts/</w:t>
            </w:r>
          </w:p>
        </w:tc>
        <w:tc>
          <w:tcPr>
            <w:tcW w:type="dxa" w:w="3120"/>
            <w:shd w:fill="FFFFFF"/>
            <w:tcMar>
              <w:top w:w="90" w:type="dxa"/>
              <w:bottom w:w="90" w:type="dxa"/>
              <w:left w:w="90" w:type="dxa"/>
              <w:right w:w="90" w:type="dxa"/>
            </w:tcMar>
          </w:tcPr>
          <w:p>
            <w:r>
              <w:rPr>
                <w:sz w:val="18"/>
              </w:rPr>
              <w:t>Lists all 11 monitored districts with geospatial coordinates and elevation.</w:t>
            </w:r>
          </w:p>
        </w:tc>
        <w:tc>
          <w:tcPr>
            <w:tcW w:type="dxa" w:w="3120"/>
            <w:shd w:fill="FFFFFF"/>
            <w:tcMar>
              <w:top w:w="90" w:type="dxa"/>
              <w:bottom w:w="90" w:type="dxa"/>
              <w:left w:w="90" w:type="dxa"/>
              <w:right w:w="90" w:type="dxa"/>
            </w:tcMar>
          </w:tcPr>
          <w:p>
            <w:r>
              <w:rPr>
                <w:sz w:val="18"/>
              </w:rPr>
              <w:t>[{"district_id": "DEHRADUN", "name": "Dehradun", "lat": 30.3165, "lon": 78.0322}]</w:t>
            </w:r>
          </w:p>
        </w:tc>
      </w:tr>
      <w:tr>
        <w:tc>
          <w:tcPr>
            <w:tcW w:type="dxa" w:w="3120"/>
            <w:shd w:fill="F8FAFC"/>
            <w:tcMar>
              <w:top w:w="90" w:type="dxa"/>
              <w:bottom w:w="90" w:type="dxa"/>
              <w:left w:w="90" w:type="dxa"/>
              <w:right w:w="90" w:type="dxa"/>
            </w:tcMar>
          </w:tcPr>
          <w:p>
            <w:r>
              <w:rPr>
                <w:b/>
                <w:sz w:val="18"/>
              </w:rPr>
              <w:t>GET /api/v1/districts/&lt;id&gt;/forecast/</w:t>
            </w:r>
          </w:p>
        </w:tc>
        <w:tc>
          <w:tcPr>
            <w:tcW w:type="dxa" w:w="3120"/>
            <w:shd w:fill="F8FAFC"/>
            <w:tcMar>
              <w:top w:w="90" w:type="dxa"/>
              <w:bottom w:w="90" w:type="dxa"/>
              <w:left w:w="90" w:type="dxa"/>
              <w:right w:w="90" w:type="dxa"/>
            </w:tcMar>
          </w:tcPr>
          <w:p>
            <w:r>
              <w:rPr>
                <w:sz w:val="18"/>
              </w:rPr>
              <w:t>Returns district-specific calibrated rainfall, bias delta, 80% CI, and IMD alert.</w:t>
            </w:r>
          </w:p>
        </w:tc>
        <w:tc>
          <w:tcPr>
            <w:tcW w:type="dxa" w:w="3120"/>
            <w:shd w:fill="F8FAFC"/>
            <w:tcMar>
              <w:top w:w="90" w:type="dxa"/>
              <w:bottom w:w="90" w:type="dxa"/>
              <w:left w:w="90" w:type="dxa"/>
              <w:right w:w="90" w:type="dxa"/>
            </w:tcMar>
          </w:tcPr>
          <w:p>
            <w:r>
              <w:rPr>
                <w:sz w:val="18"/>
              </w:rPr>
              <w:t>{"district_id": "DEHRADUN", "corrected_mm": 69.9, "ci_80": [52.4, 87.4], "alert": "YELLOW"}</w:t>
            </w:r>
          </w:p>
        </w:tc>
      </w:tr>
      <w:tr>
        <w:tc>
          <w:tcPr>
            <w:tcW w:type="dxa" w:w="3120"/>
            <w:shd w:fill="FFFFFF"/>
            <w:tcMar>
              <w:top w:w="90" w:type="dxa"/>
              <w:bottom w:w="90" w:type="dxa"/>
              <w:left w:w="90" w:type="dxa"/>
              <w:right w:w="90" w:type="dxa"/>
            </w:tcMar>
          </w:tcPr>
          <w:p>
            <w:r>
              <w:rPr>
                <w:b/>
                <w:sz w:val="18"/>
              </w:rPr>
              <w:t>GET /api/v1/verification/</w:t>
            </w:r>
          </w:p>
        </w:tc>
        <w:tc>
          <w:tcPr>
            <w:tcW w:type="dxa" w:w="3120"/>
            <w:shd w:fill="FFFFFF"/>
            <w:tcMar>
              <w:top w:w="90" w:type="dxa"/>
              <w:bottom w:w="90" w:type="dxa"/>
              <w:left w:w="90" w:type="dxa"/>
              <w:right w:w="90" w:type="dxa"/>
            </w:tcMar>
          </w:tcPr>
          <w:p>
            <w:r>
              <w:rPr>
                <w:sz w:val="18"/>
              </w:rPr>
              <w:t>Exposes continuous error metrics and categorical CSI scores for all ladder levels.</w:t>
            </w:r>
          </w:p>
        </w:tc>
        <w:tc>
          <w:tcPr>
            <w:tcW w:type="dxa" w:w="3120"/>
            <w:shd w:fill="FFFFFF"/>
            <w:tcMar>
              <w:top w:w="90" w:type="dxa"/>
              <w:bottom w:w="90" w:type="dxa"/>
              <w:left w:w="90" w:type="dxa"/>
              <w:right w:w="90" w:type="dxa"/>
            </w:tcMar>
          </w:tcPr>
          <w:p>
            <w:r>
              <w:rPr>
                <w:sz w:val="18"/>
              </w:rPr>
              <w:t>{"MAE": {"raw_nwp": 8.76, "varuna_ai": 5.42}, "CSI_64.5mm": {"raw_nwp": 0.482, "varuna_ai": 0.755}}</w:t>
            </w:r>
          </w:p>
        </w:tc>
      </w:tr>
    </w:tbl>
    <w:p>
      <w:pPr>
        <w:spacing w:after="280"/>
      </w:pPr>
    </w:p>
    <w:p>
      <w:pPr>
        <w:pStyle w:val="Heading1"/>
      </w:pPr>
      <w:r>
        <w:t>7. Step-by-Step Training &amp; Deployment Instructions</w:t>
      </w:r>
    </w:p>
    <w:p>
      <w:r>
        <w:t>To reproduce the full pipeline from raw data to operational web platform, execute the commands below in sequence:</w:t>
      </w:r>
    </w:p>
    <w:p>
      <w:pPr>
        <w:spacing w:before="120" w:after="40"/>
      </w:pPr>
      <w:r>
        <w:rPr>
          <w:b/>
          <w:color w:val="0A3663"/>
        </w:rPr>
        <w:t>Step 1: Environment Setup</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40" w:type="dxa"/>
              <w:right w:w="140" w:type="dxa"/>
            </w:tcMar>
          </w:tcPr>
          <w:p>
            <w:pPr>
              <w:spacing w:after="0"/>
            </w:pPr>
            <w:r>
              <w:rPr>
                <w:rFonts w:ascii="Consolas" w:hAnsi="Consolas"/>
                <w:color w:val="68D391"/>
                <w:sz w:val="19"/>
              </w:rPr>
              <w:t>python -m venv venv</w:t>
              <w:br/>
              <w:t>.\venv\Scripts\Activate.ps1</w:t>
              <w:br/>
              <w:t>pip install -r requirements.txt</w:t>
            </w:r>
          </w:p>
        </w:tc>
      </w:tr>
    </w:tbl>
    <w:p>
      <w:pPr>
        <w:spacing w:before="120" w:after="40"/>
      </w:pPr>
      <w:r>
        <w:rPr>
          <w:b/>
          <w:color w:val="0A3663"/>
        </w:rPr>
        <w:t>Step 2: Build Master Datasets</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40" w:type="dxa"/>
              <w:right w:w="140" w:type="dxa"/>
            </w:tcMar>
          </w:tcPr>
          <w:p>
            <w:pPr>
              <w:spacing w:after="0"/>
            </w:pPr>
            <w:r>
              <w:rPr>
                <w:rFonts w:ascii="Consolas" w:hAnsi="Consolas"/>
                <w:color w:val="68D391"/>
                <w:sz w:val="19"/>
              </w:rPr>
              <w:t>python -m weather_data.master_dataset_builder</w:t>
              <w:br/>
              <w:t># Ingests 2018-2024 records, extracts synoptic features, and outputs train/val/test parquet splits.</w:t>
            </w:r>
          </w:p>
        </w:tc>
      </w:tr>
    </w:tbl>
    <w:p>
      <w:pPr>
        <w:spacing w:before="120" w:after="40"/>
      </w:pPr>
      <w:r>
        <w:rPr>
          <w:b/>
          <w:color w:val="0A3663"/>
        </w:rPr>
        <w:t>Step 3: Train Weather Regime Classifier</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40" w:type="dxa"/>
              <w:right w:w="140" w:type="dxa"/>
            </w:tcMar>
          </w:tcPr>
          <w:p>
            <w:pPr>
              <w:spacing w:after="0"/>
            </w:pPr>
            <w:r>
              <w:rPr>
                <w:rFonts w:ascii="Consolas" w:hAnsi="Consolas"/>
                <w:color w:val="68D391"/>
                <w:sz w:val="19"/>
              </w:rPr>
              <w:t>python -m regimes.evaluation.evaluate_regimes</w:t>
              <w:br/>
              <w:t># Fits multi-class GBDT on synoptic features and saves regime_classifier.joblib.</w:t>
            </w:r>
          </w:p>
        </w:tc>
      </w:tr>
    </w:tbl>
    <w:p>
      <w:pPr>
        <w:spacing w:before="120" w:after="40"/>
      </w:pPr>
      <w:r>
        <w:rPr>
          <w:b/>
          <w:color w:val="0A3663"/>
        </w:rPr>
        <w:t>Step 4: Train Rainfall Post-Processing Model Ladder</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40" w:type="dxa"/>
              <w:right w:w="140" w:type="dxa"/>
            </w:tcMar>
          </w:tcPr>
          <w:p>
            <w:pPr>
              <w:spacing w:after="0"/>
            </w:pPr>
            <w:r>
              <w:rPr>
                <w:rFonts w:ascii="Consolas" w:hAnsi="Consolas"/>
                <w:color w:val="68D391"/>
                <w:sz w:val="19"/>
              </w:rPr>
              <w:t>python -m correction.evaluation.evaluate_correction</w:t>
              <w:br/>
              <w:t># Trains Level 1 EQM, Level 2 ML, and Level 3 Regime-Aware XGBoost model artifacts.</w:t>
            </w:r>
          </w:p>
        </w:tc>
      </w:tr>
    </w:tbl>
    <w:p>
      <w:pPr>
        <w:spacing w:before="120" w:after="40"/>
      </w:pPr>
      <w:r>
        <w:rPr>
          <w:b/>
          <w:color w:val="0A3663"/>
        </w:rPr>
        <w:t>Step 5: Run Scientific Verification Suite</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40" w:type="dxa"/>
              <w:right w:w="140" w:type="dxa"/>
            </w:tcMar>
          </w:tcPr>
          <w:p>
            <w:pPr>
              <w:spacing w:after="0"/>
            </w:pPr>
            <w:r>
              <w:rPr>
                <w:rFonts w:ascii="Consolas" w:hAnsi="Consolas"/>
                <w:color w:val="68D391"/>
                <w:sz w:val="19"/>
              </w:rPr>
              <w:t>python -m verification.verify</w:t>
              <w:br/>
              <w:t># Evaluates on 2024 test season, generating results.csv, CSI curves, and verification metrics.</w:t>
            </w:r>
          </w:p>
        </w:tc>
      </w:tr>
    </w:tbl>
    <w:p>
      <w:pPr>
        <w:spacing w:before="120" w:after="40"/>
      </w:pPr>
      <w:r>
        <w:rPr>
          <w:b/>
          <w:color w:val="0A3663"/>
        </w:rPr>
        <w:t>Step 6: Launch Web Server &amp; Dashboard</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40" w:type="dxa"/>
              <w:right w:w="140" w:type="dxa"/>
            </w:tcMar>
          </w:tcPr>
          <w:p>
            <w:pPr>
              <w:spacing w:after="0"/>
            </w:pPr>
            <w:r>
              <w:rPr>
                <w:rFonts w:ascii="Consolas" w:hAnsi="Consolas"/>
                <w:color w:val="68D391"/>
                <w:sz w:val="19"/>
              </w:rPr>
              <w:t>python manage.py migrate</w:t>
              <w:br/>
              <w:t>python manage.py runserver 127.0.0.1:8000</w:t>
              <w:br/>
              <w:t># Open http://127.0.0.1:8000 in your browser.</w:t>
            </w:r>
          </w:p>
        </w:tc>
      </w:tr>
    </w:tbl>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36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