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293B"/>
          <w:sz w:val="48"/>
          <w:szCs w:val="48"/>
        </w:rPr>
        <w:t xml:space="preserve">Competitive Analysis Brief</w:t>
      </w:r>
    </w:p>
    <w:p>
      <w:pPr>
        <w:spacing w:after="120"/>
        <w:jc w:val="center"/>
      </w:pPr>
      <w:r>
        <w:rPr>
          <w:rFonts w:ascii="Arial" w:cs="Arial" w:eastAsia="Arial" w:hAnsi="Arial"/>
          <w:color w:val="3B82F6"/>
          <w:sz w:val="36"/>
          <w:szCs w:val="36"/>
        </w:rPr>
        <w:t xml:space="preserve">AI Agent Memory Control Plane</w:t>
      </w:r>
    </w:p>
    <w:p>
      <w:pPr>
        <w:spacing w:after="80"/>
        <w:jc w:val="center"/>
      </w:pPr>
      <w:r>
        <w:rPr>
          <w:rFonts w:ascii="Arial" w:cs="Arial" w:eastAsia="Arial" w:hAnsi="Arial"/>
          <w:color w:val="64748B"/>
          <w:sz w:val="20"/>
          <w:szCs w:val="20"/>
        </w:rPr>
        <w:t xml:space="preserve">Engram vs. Mem0, Zep/Graphiti, Letta/MemGPT, Knowledge Plane, Graphlit</w:t>
      </w:r>
    </w:p>
    <w:p>
      <w:pPr>
        <w:spacing w:before="600"/>
      </w:pPr>
    </w:p>
    <w:p>
      <w:pPr>
        <w:jc w:val="center"/>
      </w:pPr>
      <w:r>
        <w:rPr>
          <w:rFonts w:ascii="Arial" w:cs="Arial" w:eastAsia="Arial" w:hAnsi="Arial"/>
          <w:color w:val="94A3B8"/>
          <w:sz w:val="20"/>
          <w:szCs w:val="20"/>
        </w:rPr>
        <w:t xml:space="preserve">February 2026  |  CONFIDENTIAL</w:t>
      </w:r>
    </w:p>
    <w:p>
      <w:r>
        <w:br w:type="page"/>
      </w:r>
    </w:p>
    <w:p>
      <w:pPr>
        <w:pStyle w:val="Heading1"/>
        <w:spacing w:before="360" w:after="200"/>
      </w:pPr>
      <w:r>
        <w:rPr>
          <w:rFonts w:ascii="Arial" w:cs="Arial" w:eastAsia="Arial" w:hAnsi="Arial"/>
          <w:b/>
          <w:bCs/>
          <w:color w:val="1E293B"/>
          <w:sz w:val="32"/>
          <w:szCs w:val="32"/>
        </w:rPr>
        <w:t xml:space="preserve">1. Executive Summary</w:t>
      </w:r>
    </w:p>
    <w:p>
      <w:pPr>
        <w:spacing w:after="120"/>
      </w:pPr>
      <w:r>
        <w:rPr>
          <w:rFonts w:ascii="Arial" w:cs="Arial" w:eastAsia="Arial" w:hAnsi="Arial"/>
          <w:color w:val="374151"/>
          <w:sz w:val="20"/>
          <w:szCs w:val="20"/>
        </w:rPr>
        <w:t xml:space="preserve">The AI agent memory infrastructure market is rapidly maturing, with multiple well-funded players competing to become the default memory layer for production AI applications. This analysis examines the five most relevant competitors to Engram and identifies the key areas where Engram’s architecture delivers differentiated value.</w:t>
      </w:r>
    </w:p>
    <w:p>
      <w:pPr>
        <w:spacing w:after="120"/>
      </w:pPr>
      <w:r>
        <w:rPr>
          <w:rFonts w:ascii="Arial" w:cs="Arial" w:eastAsia="Arial" w:hAnsi="Arial"/>
          <w:color w:val="374151"/>
          <w:sz w:val="20"/>
          <w:szCs w:val="20"/>
        </w:rPr>
        <w:t xml:space="preserve">The market is converging around graph-based memory representations, but significant gaps remain in observability, developer experience, and the ability to visualize how memory evolves across sessions. Engram’s front end shell and its underlying data model occupy a uniquely strong position in several of these gaps.</w:t>
      </w:r>
    </w:p>
    <w:p>
      <w:pPr>
        <w:pStyle w:val="Heading1"/>
        <w:spacing w:before="360" w:after="200"/>
      </w:pPr>
      <w:r>
        <w:rPr>
          <w:rFonts w:ascii="Arial" w:cs="Arial" w:eastAsia="Arial" w:hAnsi="Arial"/>
          <w:b/>
          <w:bCs/>
          <w:color w:val="1E293B"/>
          <w:sz w:val="32"/>
          <w:szCs w:val="32"/>
        </w:rPr>
        <w:t xml:space="preserve">2. Competitive Set</w:t>
      </w:r>
    </w:p>
    <w:p>
      <w:pPr>
        <w:pStyle w:val="Heading2"/>
        <w:spacing w:before="280" w:after="160"/>
      </w:pPr>
      <w:r>
        <w:rPr>
          <w:rFonts w:ascii="Arial" w:cs="Arial" w:eastAsia="Arial" w:hAnsi="Arial"/>
          <w:b/>
          <w:bCs/>
          <w:color w:val="334155"/>
          <w:sz w:val="26"/>
          <w:szCs w:val="26"/>
        </w:rPr>
        <w:t xml:space="preserve">2.1 Direct Competitors</w:t>
      </w:r>
    </w:p>
    <w:p>
      <w:pPr>
        <w:spacing w:before="200" w:after="120"/>
      </w:pPr>
      <w:r>
        <w:rPr>
          <w:rFonts w:ascii="Arial" w:cs="Arial" w:eastAsia="Arial" w:hAnsi="Arial"/>
          <w:b/>
          <w:bCs/>
          <w:color w:val="475569"/>
          <w:sz w:val="22"/>
          <w:szCs w:val="22"/>
        </w:rPr>
        <w:t xml:space="preserve">Mem0 — Universal Memory Layer</w:t>
      </w:r>
    </w:p>
    <w:p>
      <w:pPr>
        <w:spacing w:after="120"/>
      </w:pPr>
      <w:r>
        <w:rPr>
          <w:rFonts w:ascii="Arial" w:cs="Arial" w:eastAsia="Arial" w:hAnsi="Arial"/>
          <w:color w:val="374151"/>
          <w:sz w:val="20"/>
          <w:szCs w:val="20"/>
        </w:rPr>
        <w:t xml:space="preserve">YC-backed, $24M raised (Oct 2025). 41K+ GitHub stars, 13M+ PyPI downloads. Positions as the universal memory layer for AI apps, with strength in user preference extraction and personalization. Offers both open-source self-hosted and managed cloud deployment. Graph memory added in late 2025 as an optional layer atop vector-based retrieval.</w:t>
      </w:r>
    </w:p>
    <w:p>
      <w:pPr>
        <w:spacing w:after="120"/>
      </w:pPr>
      <w:r>
        <w:rPr>
          <w:rFonts w:ascii="Arial" w:cs="Arial" w:eastAsia="Arial" w:hAnsi="Arial"/>
          <w:color w:val="374151"/>
          <w:sz w:val="20"/>
          <w:szCs w:val="20"/>
        </w:rPr>
        <w:t xml:space="preserve">Key limitation: Mem0 currently has no standalone dashboard UI for self-hosted deployments. Developers interact with memories via the API or through the OpenMemory MCP project (local-only, separate product). No built-in graph visualization, decay scoring, or multi-session replay capability.</w:t>
      </w:r>
    </w:p>
    <w:p>
      <w:pPr>
        <w:spacing w:before="200" w:after="120"/>
      </w:pPr>
      <w:r>
        <w:rPr>
          <w:rFonts w:ascii="Arial" w:cs="Arial" w:eastAsia="Arial" w:hAnsi="Arial"/>
          <w:b/>
          <w:bCs/>
          <w:color w:val="475569"/>
          <w:sz w:val="22"/>
          <w:szCs w:val="22"/>
        </w:rPr>
        <w:t xml:space="preserve">Zep / Graphiti — Temporal Knowledge Graph</w:t>
      </w:r>
    </w:p>
    <w:p>
      <w:pPr>
        <w:spacing w:after="120"/>
      </w:pPr>
      <w:r>
        <w:rPr>
          <w:rFonts w:ascii="Arial" w:cs="Arial" w:eastAsia="Arial" w:hAnsi="Arial"/>
          <w:color w:val="374151"/>
          <w:sz w:val="20"/>
          <w:szCs w:val="20"/>
        </w:rPr>
        <w:t xml:space="preserve">Zep builds on Graphiti, an open-source temporal knowledge graph engine. Claims 94.8% accuracy on the Deep Memory Retrieval benchmark (vs. MemGPT’s 93.4%). Strength is in temporal awareness: every edge carries explicit validity intervals (t_valid, t_invalid), enabling historical state reconstruction.</w:t>
      </w:r>
    </w:p>
    <w:p>
      <w:pPr>
        <w:spacing w:after="120"/>
      </w:pPr>
      <w:r>
        <w:rPr>
          <w:rFonts w:ascii="Arial" w:cs="Arial" w:eastAsia="Arial" w:hAnsi="Arial"/>
          <w:color w:val="374151"/>
          <w:sz w:val="20"/>
          <w:szCs w:val="20"/>
        </w:rPr>
        <w:t xml:space="preserve">Key limitation: Graph visualization relies on external tools (Neo4j Desktop/Browser). No purpose-built UI for exploring how agent memory evolves across sessions. No auto-play demo capability, no integrated chat replay, no visual provenance tracing.</w:t>
      </w:r>
    </w:p>
    <w:p>
      <w:pPr>
        <w:spacing w:before="200" w:after="120"/>
      </w:pPr>
      <w:r>
        <w:rPr>
          <w:rFonts w:ascii="Arial" w:cs="Arial" w:eastAsia="Arial" w:hAnsi="Arial"/>
          <w:b/>
          <w:bCs/>
          <w:color w:val="475569"/>
          <w:sz w:val="22"/>
          <w:szCs w:val="22"/>
        </w:rPr>
        <w:t xml:space="preserve">Letta / MemGPT — Stateful Agent Platform</w:t>
      </w:r>
    </w:p>
    <w:p>
      <w:pPr>
        <w:spacing w:after="120"/>
      </w:pPr>
      <w:r>
        <w:rPr>
          <w:rFonts w:ascii="Arial" w:cs="Arial" w:eastAsia="Arial" w:hAnsi="Arial"/>
          <w:color w:val="374151"/>
          <w:sz w:val="20"/>
          <w:szCs w:val="20"/>
        </w:rPr>
        <w:t xml:space="preserve">$10M funding. Pioneered the self-editing memory paradigm where LLMs manage their own context via tool calls. Recently launched the Agent Development Environment (ADE), a three-panel visual interface for building and debugging stateful agents.</w:t>
      </w:r>
    </w:p>
    <w:p>
      <w:pPr>
        <w:spacing w:after="120"/>
      </w:pPr>
      <w:r>
        <w:rPr>
          <w:rFonts w:ascii="Arial" w:cs="Arial" w:eastAsia="Arial" w:hAnsi="Arial"/>
          <w:color w:val="374151"/>
          <w:sz w:val="20"/>
          <w:szCs w:val="20"/>
        </w:rPr>
        <w:t xml:space="preserve">Key distinction: Letta’s ADE is the closest competitor to Engram’s front end shell in terms of visual developer tooling. It offers a context window viewer, core memory block editor, and archival memory browser. However, its focus is on single-agent state introspection, not cross-session knowledge graph evolution.</w:t>
      </w:r>
    </w:p>
    <w:p>
      <w:pPr>
        <w:pStyle w:val="Heading2"/>
        <w:spacing w:before="280" w:after="160"/>
      </w:pPr>
      <w:r>
        <w:rPr>
          <w:rFonts w:ascii="Arial" w:cs="Arial" w:eastAsia="Arial" w:hAnsi="Arial"/>
          <w:b/>
          <w:bCs/>
          <w:color w:val="334155"/>
          <w:sz w:val="26"/>
          <w:szCs w:val="26"/>
        </w:rPr>
        <w:t xml:space="preserve">2.2 Adjacent Competitors</w:t>
      </w:r>
    </w:p>
    <w:p>
      <w:pPr>
        <w:spacing w:before="200" w:after="120"/>
      </w:pPr>
      <w:r>
        <w:rPr>
          <w:rFonts w:ascii="Arial" w:cs="Arial" w:eastAsia="Arial" w:hAnsi="Arial"/>
          <w:b/>
          <w:bCs/>
          <w:color w:val="475569"/>
          <w:sz w:val="22"/>
          <w:szCs w:val="22"/>
        </w:rPr>
        <w:t xml:space="preserve">Knowledge Plane — Shared Memory via MCP</w:t>
      </w:r>
    </w:p>
    <w:p>
      <w:pPr>
        <w:spacing w:after="120"/>
      </w:pPr>
      <w:r>
        <w:rPr>
          <w:rFonts w:ascii="Arial" w:cs="Arial" w:eastAsia="Arial" w:hAnsi="Arial"/>
          <w:color w:val="374151"/>
          <w:sz w:val="20"/>
          <w:szCs w:val="20"/>
        </w:rPr>
        <w:t xml:space="preserve">MCP-native shared memory layer for AI agent teams. Plugs into Claude Desktop, Cursor, and VS Code. Focus is on team-wide knowledge sharing where one developer’s agent updates benefit all agents. Uses knowledge cards with typed relationships (depends_on, decided_by). No visual graph exploration UI.</w:t>
      </w:r>
    </w:p>
    <w:p>
      <w:pPr>
        <w:spacing w:before="200" w:after="120"/>
      </w:pPr>
      <w:r>
        <w:rPr>
          <w:rFonts w:ascii="Arial" w:cs="Arial" w:eastAsia="Arial" w:hAnsi="Arial"/>
          <w:b/>
          <w:bCs/>
          <w:color w:val="475569"/>
          <w:sz w:val="22"/>
          <w:szCs w:val="22"/>
        </w:rPr>
        <w:t xml:space="preserve">Graphlit — Semantic Memory Infrastructure</w:t>
      </w:r>
    </w:p>
    <w:p>
      <w:pPr>
        <w:spacing w:after="120"/>
      </w:pPr>
      <w:r>
        <w:rPr>
          <w:rFonts w:ascii="Arial" w:cs="Arial" w:eastAsia="Arial" w:hAnsi="Arial"/>
          <w:color w:val="374151"/>
          <w:sz w:val="20"/>
          <w:szCs w:val="20"/>
        </w:rPr>
        <w:t xml:space="preserve">Cloud-native only platform with 30+ content connectors and multimodal support. Focuses on enterprise content ingestion, entity extraction, and knowledge graph construction. Positions as a comprehensive semantic layer rather than a targeted agent memory solution.</w:t>
      </w:r>
    </w:p>
    <w:p>
      <w:pPr>
        <w:pStyle w:val="Heading2"/>
        <w:spacing w:before="280" w:after="160"/>
      </w:pPr>
      <w:r>
        <w:rPr>
          <w:rFonts w:ascii="Arial" w:cs="Arial" w:eastAsia="Arial" w:hAnsi="Arial"/>
          <w:b/>
          <w:bCs/>
          <w:color w:val="334155"/>
          <w:sz w:val="26"/>
          <w:szCs w:val="26"/>
        </w:rPr>
        <w:t xml:space="preserve">2.3 Substitute Solutions</w:t>
      </w:r>
    </w:p>
    <w:p>
      <w:pPr>
        <w:pStyle w:val="ListParagraph"/>
        <w:numPr>
          <w:ilvl w:val="0"/>
          <w:numId w:val="2"/>
        </w:numPr>
        <w:spacing w:after="80"/>
      </w:pPr>
      <w:r>
        <w:rPr>
          <w:rFonts w:ascii="Arial" w:cs="Arial" w:eastAsia="Arial" w:hAnsi="Arial"/>
          <w:color w:val="374151"/>
          <w:sz w:val="20"/>
          <w:szCs w:val="20"/>
        </w:rPr>
        <w:t xml:space="preserve">LangChain/LangGraph PostgresSaver — Checkpoint-based state persistence. No graph structure, temporal awareness, or visualization.</w:t>
      </w:r>
    </w:p>
    <w:p>
      <w:pPr>
        <w:pStyle w:val="ListParagraph"/>
        <w:numPr>
          <w:ilvl w:val="0"/>
          <w:numId w:val="2"/>
        </w:numPr>
        <w:spacing w:after="80"/>
      </w:pPr>
      <w:r>
        <w:rPr>
          <w:rFonts w:ascii="Arial" w:cs="Arial" w:eastAsia="Arial" w:hAnsi="Arial"/>
          <w:color w:val="374151"/>
          <w:sz w:val="20"/>
          <w:szCs w:val="20"/>
        </w:rPr>
        <w:t xml:space="preserve">Raw Neo4j/FalkorDB + custom code — General-purpose graph databases with manual schema design. Requires significant engineering to build agent-specific memory patterns.</w:t>
      </w:r>
    </w:p>
    <w:p>
      <w:pPr>
        <w:pStyle w:val="ListParagraph"/>
        <w:numPr>
          <w:ilvl w:val="0"/>
          <w:numId w:val="2"/>
        </w:numPr>
        <w:spacing w:after="80"/>
      </w:pPr>
      <w:r>
        <w:rPr>
          <w:rFonts w:ascii="Arial" w:cs="Arial" w:eastAsia="Arial" w:hAnsi="Arial"/>
          <w:color w:val="374151"/>
          <w:sz w:val="20"/>
          <w:szCs w:val="20"/>
        </w:rPr>
        <w:t xml:space="preserve">Pinecone / Weaviate vector stores — Similarity-based retrieval without graph structure. No relationship modeling, provenance tracking, or temporal decay.</w:t>
      </w:r>
    </w:p>
    <w:p>
      <w:r>
        <w:br w:type="page"/>
      </w:r>
    </w:p>
    <w:p>
      <w:pPr>
        <w:pStyle w:val="Heading1"/>
        <w:spacing w:before="360" w:after="200"/>
      </w:pPr>
      <w:r>
        <w:rPr>
          <w:rFonts w:ascii="Arial" w:cs="Arial" w:eastAsia="Arial" w:hAnsi="Arial"/>
          <w:b/>
          <w:bCs/>
          <w:color w:val="1E293B"/>
          <w:sz w:val="32"/>
          <w:szCs w:val="32"/>
        </w:rPr>
        <w:t xml:space="preserve">3. Feature Comparison Matrix</w:t>
      </w:r>
    </w:p>
    <w:p>
      <w:pPr>
        <w:spacing w:after="120"/>
      </w:pPr>
      <w:r>
        <w:rPr>
          <w:rFonts w:ascii="Arial" w:cs="Arial" w:eastAsia="Arial" w:hAnsi="Arial"/>
          <w:color w:val="374151"/>
          <w:sz w:val="20"/>
          <w:szCs w:val="20"/>
        </w:rPr>
        <w:t xml:space="preserve">Ratings reflect production capabilities as of February 2026, based on documentation review, public demos, and published benchmarks.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960"/>
      </w:tblGrid>
      <w:tr>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400"/>
            <w:tcBorders>
              <w:top w:val="single" w:color="CCCCCC" w:sz="1"/>
              <w:left w:val="single" w:color="CCCCCC" w:sz="1"/>
              <w:bottom w:val="single" w:color="CCCCCC" w:sz="1"/>
              <w:right w:val="single" w:color="CCCCCC"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Engram</w:t>
            </w:r>
          </w:p>
        </w:tc>
        <w:tc>
          <w:tcPr>
            <w:tcW w:type="dxa" w:w="1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Mem0</w:t>
            </w:r>
          </w:p>
        </w:tc>
        <w:tc>
          <w:tcPr>
            <w:tcW w:type="dxa" w:w="1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Zep</w:t>
            </w:r>
          </w:p>
        </w:tc>
        <w:tc>
          <w:tcPr>
            <w:tcW w:type="dxa" w:w="1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Letta</w:t>
            </w:r>
          </w:p>
        </w:tc>
        <w:tc>
          <w:tcPr>
            <w:tcW w:type="dxa" w:w="19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K. Plane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MEMORY ARCHITECTURE</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Knowledge Graph</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Temporal Decay Scoring</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User Profile Inference</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Behavioral Patterns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Preference Extraction</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Multi-Dimensional Scoring</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Provenance Tracking</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9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DEVELOPER EXPERIENCE</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Visual Graph Explorer</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Interactive Demo / Replay</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Memory State Viewer</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API Introspection UI</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Chat + Graph Linked View</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DATA MODEL RICHNESS</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Node Type Taxonomy</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Edge Type Taxonomy</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c>
          <w:tcPr>
            <w:tcW w:type="dxa" w:w="1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Intent Classification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c>
          <w:tcPr>
            <w:tcW w:type="dxa" w:w="1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color w:val="6B7280"/>
                <w:sz w:val="18"/>
                <w:szCs w:val="18"/>
              </w:rPr>
              <w:t xml:space="preserve">Absent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Cross-Session Linking</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96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r>
      <w:tr>
        <w:tc>
          <w:tcPr>
            <w:tcW w:type="dxa" w:w="1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GO-TO-MARKET</w:t>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1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Open Source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b/>
                <w:bCs/>
                <w:color w:val="9CA3AF"/>
                <w:sz w:val="18"/>
                <w:szCs w:val="18"/>
              </w:rPr>
              <w:t xml:space="preserve">N/A</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9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MCP Integration</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b/>
                <w:bCs/>
                <w:color w:val="9CA3AF"/>
                <w:sz w:val="18"/>
                <w:szCs w:val="18"/>
              </w:rPr>
              <w:t xml:space="preserve">N/A</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Adequate</w:t>
            </w:r>
          </w:p>
        </w:tc>
        <w:tc>
          <w:tcPr>
            <w:tcW w:type="dxa" w:w="19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Community / Ecosystem</w:t>
            </w:r>
          </w:p>
        </w:tc>
        <w:tc>
          <w:tcPr>
            <w:tcW w:type="dxa" w:w="1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b/>
                <w:bCs/>
                <w:color w:val="9CA3AF"/>
                <w:sz w:val="18"/>
                <w:szCs w:val="18"/>
              </w:rPr>
              <w:t xml:space="preserve">N/A</w:t>
            </w:r>
          </w:p>
        </w:tc>
        <w:tc>
          <w:tcPr>
            <w:tcW w:type="dxa" w:w="1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Best-in-class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Strong</w:t>
            </w:r>
          </w:p>
        </w:tc>
        <w:tc>
          <w:tcPr>
            <w:tcW w:type="dxa" w:w="19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Weak</w:t>
            </w:r>
          </w:p>
        </w:tc>
      </w:tr>
    </w:tbl>
    <w:p>
      <w:pPr>
        <w:spacing w:before="160"/>
      </w:pPr>
    </w:p>
    <w:p>
      <w:pPr>
        <w:spacing w:after="120"/>
      </w:pPr>
      <w:r>
        <w:rPr>
          <w:rFonts w:ascii="Arial" w:cs="Arial" w:eastAsia="Arial" w:hAnsi="Arial"/>
          <w:i/>
          <w:iCs/>
          <w:color w:val="374151"/>
          <w:sz w:val="20"/>
          <w:szCs w:val="20"/>
        </w:rPr>
        <w:t xml:space="preserve">Rating scale: Best-in-class (defines the standard) &gt; Strong (fully featured) &gt; Adequate (functional) &gt; Weak (limited) &gt; Absent (not available). N/A indicates the capability has not been publicly released or evaluated.</w:t>
      </w:r>
    </w:p>
    <w:p>
      <w:r>
        <w:br w:type="page"/>
      </w:r>
    </w:p>
    <w:p>
      <w:pPr>
        <w:pStyle w:val="Heading1"/>
        <w:spacing w:before="360" w:after="200"/>
      </w:pPr>
      <w:r>
        <w:rPr>
          <w:rFonts w:ascii="Arial" w:cs="Arial" w:eastAsia="Arial" w:hAnsi="Arial"/>
          <w:b/>
          <w:bCs/>
          <w:color w:val="1E293B"/>
          <w:sz w:val="32"/>
          <w:szCs w:val="32"/>
        </w:rPr>
        <w:t xml:space="preserve">4. Engram’s Novel Differentiators</w:t>
      </w:r>
    </w:p>
    <w:p>
      <w:pPr>
        <w:spacing w:after="120"/>
      </w:pPr>
      <w:r>
        <w:rPr>
          <w:rFonts w:ascii="Arial" w:cs="Arial" w:eastAsia="Arial" w:hAnsi="Arial"/>
          <w:color w:val="374151"/>
          <w:sz w:val="20"/>
          <w:szCs w:val="20"/>
        </w:rPr>
        <w:t xml:space="preserve">Based on the competitive analysis, Engram occupies unique ground in several capability areas that no competitor currently matches. These represent genuine novelty that should be emphasized in positioning and demos.</w:t>
      </w:r>
    </w:p>
    <w:p>
      <w:pPr>
        <w:pStyle w:val="Heading2"/>
        <w:spacing w:before="280" w:after="160"/>
      </w:pPr>
      <w:r>
        <w:rPr>
          <w:rFonts w:ascii="Arial" w:cs="Arial" w:eastAsia="Arial" w:hAnsi="Arial"/>
          <w:b/>
          <w:bCs/>
          <w:color w:val="334155"/>
          <w:sz w:val="26"/>
          <w:szCs w:val="26"/>
        </w:rPr>
        <w:t xml:space="preserve">4.1 Unified Graph Observability Shell</w:t>
      </w:r>
    </w:p>
    <w:p>
      <w:pPr>
        <w:spacing w:after="120"/>
      </w:pPr>
      <w:r>
        <w:rPr>
          <w:rFonts w:ascii="Arial" w:cs="Arial" w:eastAsia="Arial" w:hAnsi="Arial"/>
          <w:color w:val="374151"/>
          <w:sz w:val="20"/>
          <w:szCs w:val="20"/>
        </w:rPr>
        <w:t xml:space="preserve">Engram is the only solution that provides a purpose-built, interactive visual shell for exploring the full agent memory graph. While Letta’s ADE offers memory block inspection, and Zep relies on Neo4j’s generic graph browser, neither provides a unified view that links chat conversations, graph topology, node scores, user profiles, and API calls in a single coordinated interface.</w:t>
      </w:r>
    </w:p>
    <w:p>
      <w:pPr>
        <w:spacing w:after="120"/>
      </w:pPr>
      <w:r>
        <w:rPr>
          <w:rFonts w:ascii="Arial" w:cs="Arial" w:eastAsia="Arial" w:hAnsi="Arial"/>
          <w:color w:val="374151"/>
          <w:sz w:val="20"/>
          <w:szCs w:val="20"/>
        </w:rPr>
        <w:t xml:space="preserve">Why this matters: Debugging agent memory behavior today requires switching between raw API logs, database query tools, and chat transcripts. Engram collapses these into one screen where clicking a chat message highlights the graph nodes that informed the response, and clicking a graph node reveals its provenance, scores, and connections.</w:t>
      </w:r>
    </w:p>
    <w:p>
      <w:pPr>
        <w:pStyle w:val="Heading2"/>
        <w:spacing w:before="280" w:after="160"/>
      </w:pPr>
      <w:r>
        <w:rPr>
          <w:rFonts w:ascii="Arial" w:cs="Arial" w:eastAsia="Arial" w:hAnsi="Arial"/>
          <w:b/>
          <w:bCs/>
          <w:color w:val="334155"/>
          <w:sz w:val="26"/>
          <w:szCs w:val="26"/>
        </w:rPr>
        <w:t xml:space="preserve">4.2 Multi-Session Auto-Play Demo</w:t>
      </w:r>
    </w:p>
    <w:p>
      <w:pPr>
        <w:spacing w:after="120"/>
      </w:pPr>
      <w:r>
        <w:rPr>
          <w:rFonts w:ascii="Arial" w:cs="Arial" w:eastAsia="Arial" w:hAnsi="Arial"/>
          <w:color w:val="374151"/>
          <w:sz w:val="20"/>
          <w:szCs w:val="20"/>
        </w:rPr>
        <w:t xml:space="preserve">No competitor offers an auto-play walkthrough that steps through a multi-session scenario, progressively revealing how the knowledge graph grows and evolves. Letta’s ADE can replay a single conversation; Mem0’s playground shows individual memory operations. Neither demonstrates the cross-session memory accumulation that is the core value proposition of persistent agent memory.</w:t>
      </w:r>
    </w:p>
    <w:p>
      <w:pPr>
        <w:spacing w:after="120"/>
      </w:pPr>
      <w:r>
        <w:rPr>
          <w:rFonts w:ascii="Arial" w:cs="Arial" w:eastAsia="Arial" w:hAnsi="Arial"/>
          <w:color w:val="374151"/>
          <w:sz w:val="20"/>
          <w:szCs w:val="20"/>
        </w:rPr>
        <w:t xml:space="preserve">Why this matters: The ability to show a prospect a 3-minute auto-play demo where an AI agent remembers a billing dispute from Session 1, references it in Session 2’s feature request, and then uses the accumulated context to handle Session 3’s escalation is a powerful sales tool that no competitor can replicate today.</w:t>
      </w:r>
    </w:p>
    <w:p>
      <w:pPr>
        <w:pStyle w:val="Heading2"/>
        <w:spacing w:before="280" w:after="160"/>
      </w:pPr>
      <w:r>
        <w:rPr>
          <w:rFonts w:ascii="Arial" w:cs="Arial" w:eastAsia="Arial" w:hAnsi="Arial"/>
          <w:b/>
          <w:bCs/>
          <w:color w:val="334155"/>
          <w:sz w:val="26"/>
          <w:szCs w:val="26"/>
        </w:rPr>
        <w:t xml:space="preserve">4.3 Richest Node Type Taxonomy (8 Types)</w:t>
      </w:r>
    </w:p>
    <w:p>
      <w:pPr>
        <w:spacing w:after="120"/>
      </w:pPr>
      <w:r>
        <w:rPr>
          <w:rFonts w:ascii="Arial" w:cs="Arial" w:eastAsia="Arial" w:hAnsi="Arial"/>
          <w:color w:val="374151"/>
          <w:sz w:val="20"/>
          <w:szCs w:val="20"/>
        </w:rPr>
        <w:t xml:space="preserve">Engram models 8 distinct node types: Event, Entity, Summary, UserProfile, Preference, Skill, Workflow, and BehavioralPattern. This is the most semantically rich taxonomy in the market. Mem0 focuses primarily on user memories and preferences. Zep’s Graphiti models entities and relationships with temporal metadata but lacks explicit Skill, BehavioralPattern, and Workflow types. Letta models core memory blocks and archival memory without semantic typing.</w:t>
      </w:r>
    </w:p>
    <w:p>
      <w:pPr>
        <w:spacing w:after="120"/>
      </w:pPr>
      <w:r>
        <w:rPr>
          <w:rFonts w:ascii="Arial" w:cs="Arial" w:eastAsia="Arial" w:hAnsi="Arial"/>
          <w:color w:val="374151"/>
          <w:sz w:val="20"/>
          <w:szCs w:val="20"/>
        </w:rPr>
        <w:t xml:space="preserve">Why this matters: A richer taxonomy enables more precise retrieval, better context assembly, and more nuanced agent behavior. When Engram knows a node is a BehavioralPattern (e.g., “references competitor when escalating”), it can proactively surface that insight during similar future interactions.</w:t>
      </w:r>
    </w:p>
    <w:p>
      <w:pPr>
        <w:pStyle w:val="Heading2"/>
        <w:spacing w:before="280" w:after="160"/>
      </w:pPr>
      <w:r>
        <w:rPr>
          <w:rFonts w:ascii="Arial" w:cs="Arial" w:eastAsia="Arial" w:hAnsi="Arial"/>
          <w:b/>
          <w:bCs/>
          <w:color w:val="334155"/>
          <w:sz w:val="26"/>
          <w:szCs w:val="26"/>
        </w:rPr>
        <w:t xml:space="preserve">4.4 Composite Scoring with Decay, Importance, Relevance, and Affinity</w:t>
      </w:r>
    </w:p>
    <w:p>
      <w:pPr>
        <w:spacing w:after="120"/>
      </w:pPr>
      <w:r>
        <w:rPr>
          <w:rFonts w:ascii="Arial" w:cs="Arial" w:eastAsia="Arial" w:hAnsi="Arial"/>
          <w:color w:val="374151"/>
          <w:sz w:val="20"/>
          <w:szCs w:val="20"/>
        </w:rPr>
        <w:t xml:space="preserve">Engram scores every node on four independent dimensions: decay_score (temporal relevance), importance (business criticality), relevance_score (query-specific relevance), and user_affinity (personalization weight). This multi-dimensional scoring with configurable weights is unique. Zep has temporal validity intervals but not composite scoring. Mem0 tracks recency but not multi-dimensional importance. Letta has no scoring model.</w:t>
      </w:r>
    </w:p>
    <w:p>
      <w:pPr>
        <w:spacing w:after="120"/>
      </w:pPr>
      <w:r>
        <w:rPr>
          <w:rFonts w:ascii="Arial" w:cs="Arial" w:eastAsia="Arial" w:hAnsi="Arial"/>
          <w:color w:val="374151"/>
          <w:sz w:val="20"/>
          <w:szCs w:val="20"/>
        </w:rPr>
        <w:t xml:space="preserve">Why this matters: Multi-dimensional scoring enables the system to make nuanced retrieval decisions. A node can be old (low decay) but critically important (high importance), or highly relevant to the current query but low affinity to the user. This granularity is essential for production-quality context assembly.</w:t>
      </w:r>
    </w:p>
    <w:p>
      <w:pPr>
        <w:pStyle w:val="Heading2"/>
        <w:spacing w:before="280" w:after="160"/>
      </w:pPr>
      <w:r>
        <w:rPr>
          <w:rFonts w:ascii="Arial" w:cs="Arial" w:eastAsia="Arial" w:hAnsi="Arial"/>
          <w:b/>
          <w:bCs/>
          <w:color w:val="334155"/>
          <w:sz w:val="26"/>
          <w:szCs w:val="26"/>
        </w:rPr>
        <w:t xml:space="preserve">4.5 Behavioral Pattern Detection</w:t>
      </w:r>
    </w:p>
    <w:p>
      <w:pPr>
        <w:spacing w:after="120"/>
      </w:pPr>
      <w:r>
        <w:rPr>
          <w:rFonts w:ascii="Arial" w:cs="Arial" w:eastAsia="Arial" w:hAnsi="Arial"/>
          <w:color w:val="374151"/>
          <w:sz w:val="20"/>
          <w:szCs w:val="20"/>
        </w:rPr>
        <w:t xml:space="preserve">Engram is the only platform that explicitly models behavioral patterns as first-class graph entities. The BehavioralPattern node type captures observation counts, confidence scores, descriptions, and links back to the source events via EXHIBITS_PATTERN edges. No competitor offers this capability.</w:t>
      </w:r>
    </w:p>
    <w:p>
      <w:pPr>
        <w:spacing w:after="120"/>
      </w:pPr>
      <w:r>
        <w:rPr>
          <w:rFonts w:ascii="Arial" w:cs="Arial" w:eastAsia="Arial" w:hAnsi="Arial"/>
          <w:color w:val="374151"/>
          <w:sz w:val="20"/>
          <w:szCs w:val="20"/>
        </w:rPr>
        <w:t xml:space="preserve">Why this matters: Behavioral patterns enable proactive intelligence. When Engram detects that a user “references competitor products when escalating issues,” the agent can proactively flag churn risk and adjust its response strategy before the situation escalates further.</w:t>
      </w:r>
    </w:p>
    <w:p>
      <w:pPr>
        <w:pStyle w:val="Heading2"/>
        <w:spacing w:before="280" w:after="160"/>
      </w:pPr>
      <w:r>
        <w:rPr>
          <w:rFonts w:ascii="Arial" w:cs="Arial" w:eastAsia="Arial" w:hAnsi="Arial"/>
          <w:b/>
          <w:bCs/>
          <w:color w:val="334155"/>
          <w:sz w:val="26"/>
          <w:szCs w:val="26"/>
        </w:rPr>
        <w:t xml:space="preserve">4.6 Visual Provenance Tracing</w:t>
      </w:r>
    </w:p>
    <w:p>
      <w:pPr>
        <w:spacing w:after="120"/>
      </w:pPr>
      <w:r>
        <w:rPr>
          <w:rFonts w:ascii="Arial" w:cs="Arial" w:eastAsia="Arial" w:hAnsi="Arial"/>
          <w:color w:val="374151"/>
          <w:sz w:val="20"/>
          <w:szCs w:val="20"/>
        </w:rPr>
        <w:t xml:space="preserve">Engram’s front end shell links every agent response back to the specific graph nodes that informed it, with visual highlighting in the graph panel. Clicking a “Context used: 8 nodes” badge on an agent message highlights exactly which entities, preferences, summaries, and events contributed to that response. No competitor offers this level of visual provenance tracing.</w:t>
      </w:r>
    </w:p>
    <w:p>
      <w:pPr>
        <w:spacing w:after="120"/>
      </w:pPr>
      <w:r>
        <w:rPr>
          <w:rFonts w:ascii="Arial" w:cs="Arial" w:eastAsia="Arial" w:hAnsi="Arial"/>
          <w:color w:val="374151"/>
          <w:sz w:val="20"/>
          <w:szCs w:val="20"/>
        </w:rPr>
        <w:t xml:space="preserve">Why this matters: Provenance is critical for trust, debugging, and compliance. Being able to visually trace why an agent said what it said, all the way back to the source events and derived inferences, is a powerful differentiator for enterprise buyers who need explainability.</w:t>
      </w:r>
    </w:p>
    <w:p>
      <w:pPr>
        <w:pStyle w:val="Heading2"/>
        <w:spacing w:before="280" w:after="160"/>
      </w:pPr>
      <w:r>
        <w:rPr>
          <w:rFonts w:ascii="Arial" w:cs="Arial" w:eastAsia="Arial" w:hAnsi="Arial"/>
          <w:b/>
          <w:bCs/>
          <w:color w:val="334155"/>
          <w:sz w:val="26"/>
          <w:szCs w:val="26"/>
        </w:rPr>
        <w:t xml:space="preserve">4.7 16-Type Edge Taxonomy with Causal and Derived Relationships</w:t>
      </w:r>
    </w:p>
    <w:p>
      <w:pPr>
        <w:spacing w:after="120"/>
      </w:pPr>
      <w:r>
        <w:rPr>
          <w:rFonts w:ascii="Arial" w:cs="Arial" w:eastAsia="Arial" w:hAnsi="Arial"/>
          <w:color w:val="374151"/>
          <w:sz w:val="20"/>
          <w:szCs w:val="20"/>
        </w:rPr>
        <w:t xml:space="preserve">Engram defines 16 distinct edge types including FOLLOWS (temporal), CAUSED_BY (causal), DERIVED_FROM (inference lineage), EXHIBITS_PATTERN (behavioral), SIMILAR_TO (semantic), and others. This is the most expressive relationship model in the market. Zep’s Graphiti supports typed relationships but with a more generic schema. Mem0’s graph layer models entity relationships without explicit causal or derivation semantics.</w:t>
      </w:r>
    </w:p>
    <w:p>
      <w:pPr>
        <w:spacing w:after="120"/>
      </w:pPr>
      <w:r>
        <w:rPr>
          <w:rFonts w:ascii="Arial" w:cs="Arial" w:eastAsia="Arial" w:hAnsi="Arial"/>
          <w:color w:val="374151"/>
          <w:sz w:val="20"/>
          <w:szCs w:val="20"/>
        </w:rPr>
        <w:t xml:space="preserve">Why this matters: Rich edge typing enables the system to distinguish between temporal sequence (“Event B happened after Event A”), causation (“Event B was caused by Event A”), and inference (“Preference X was derived from Event Y”). This is essential for accurate lineage tracking and debugging.</w:t>
      </w:r>
    </w:p>
    <w:p>
      <w:r>
        <w:br w:type="page"/>
      </w:r>
    </w:p>
    <w:p>
      <w:pPr>
        <w:pStyle w:val="Heading1"/>
        <w:spacing w:before="360" w:after="200"/>
      </w:pPr>
      <w:r>
        <w:rPr>
          <w:rFonts w:ascii="Arial" w:cs="Arial" w:eastAsia="Arial" w:hAnsi="Arial"/>
          <w:b/>
          <w:bCs/>
          <w:color w:val="1E293B"/>
          <w:sz w:val="32"/>
          <w:szCs w:val="32"/>
        </w:rPr>
        <w:t xml:space="preserve">5. Positioning Gaps and Opportunities</w:t>
      </w:r>
    </w:p>
    <w:p>
      <w:pPr>
        <w:spacing w:before="200" w:after="120"/>
      </w:pPr>
      <w:r>
        <w:rPr>
          <w:rFonts w:ascii="Arial" w:cs="Arial" w:eastAsia="Arial" w:hAnsi="Arial"/>
          <w:b/>
          <w:bCs/>
          <w:color w:val="475569"/>
          <w:sz w:val="22"/>
          <w:szCs w:val="22"/>
        </w:rPr>
        <w:t xml:space="preserve">Unclaimed Positions (Opportunity)</w:t>
      </w:r>
    </w:p>
    <w:p>
      <w:pPr>
        <w:pStyle w:val="ListParagraph"/>
        <w:numPr>
          <w:ilvl w:val="0"/>
          <w:numId w:val="2"/>
        </w:numPr>
        <w:spacing w:after="80"/>
      </w:pPr>
      <w:r>
        <w:rPr>
          <w:rFonts w:ascii="Arial" w:cs="Arial" w:eastAsia="Arial" w:hAnsi="Arial"/>
          <w:b/>
          <w:bCs/>
          <w:color w:val="1E293B"/>
          <w:sz w:val="20"/>
          <w:szCs w:val="20"/>
        </w:rPr>
        <w:t xml:space="preserve">Memory observability platform: </w:t>
      </w:r>
      <w:r>
        <w:rPr>
          <w:rFonts w:ascii="Arial" w:cs="Arial" w:eastAsia="Arial" w:hAnsi="Arial"/>
          <w:color w:val="374151"/>
          <w:sz w:val="20"/>
          <w:szCs w:val="20"/>
        </w:rPr>
        <w:t xml:space="preserve">No competitor owns the category of “visual agent memory debugging.” Engram can define this category.</w:t>
      </w:r>
    </w:p>
    <w:p>
      <w:pPr>
        <w:pStyle w:val="ListParagraph"/>
        <w:numPr>
          <w:ilvl w:val="0"/>
          <w:numId w:val="2"/>
        </w:numPr>
        <w:spacing w:after="80"/>
      </w:pPr>
      <w:r>
        <w:rPr>
          <w:rFonts w:ascii="Arial" w:cs="Arial" w:eastAsia="Arial" w:hAnsi="Arial"/>
          <w:b/>
          <w:bCs/>
          <w:color w:val="1E293B"/>
          <w:sz w:val="20"/>
          <w:szCs w:val="20"/>
        </w:rPr>
        <w:t xml:space="preserve">Cross-session demo engine: </w:t>
      </w:r>
      <w:r>
        <w:rPr>
          <w:rFonts w:ascii="Arial" w:cs="Arial" w:eastAsia="Arial" w:hAnsi="Arial"/>
          <w:color w:val="374151"/>
          <w:sz w:val="20"/>
          <w:szCs w:val="20"/>
        </w:rPr>
        <w:t xml:space="preserve">The ability to demonstrate multi-session memory accumulation visually is an unclaimed and highly valuable position in the sales cycle.</w:t>
      </w:r>
    </w:p>
    <w:p>
      <w:pPr>
        <w:pStyle w:val="ListParagraph"/>
        <w:numPr>
          <w:ilvl w:val="0"/>
          <w:numId w:val="2"/>
        </w:numPr>
        <w:spacing w:after="80"/>
      </w:pPr>
      <w:r>
        <w:rPr>
          <w:rFonts w:ascii="Arial" w:cs="Arial" w:eastAsia="Arial" w:hAnsi="Arial"/>
          <w:b/>
          <w:bCs/>
          <w:color w:val="1E293B"/>
          <w:sz w:val="20"/>
          <w:szCs w:val="20"/>
        </w:rPr>
        <w:t xml:space="preserve">Behavioral intelligence layer: </w:t>
      </w:r>
      <w:r>
        <w:rPr>
          <w:rFonts w:ascii="Arial" w:cs="Arial" w:eastAsia="Arial" w:hAnsi="Arial"/>
          <w:color w:val="374151"/>
          <w:sz w:val="20"/>
          <w:szCs w:val="20"/>
        </w:rPr>
        <w:t xml:space="preserve">Pattern detection, preference extraction, and user profiling as a coherent system is not claimed by any competitor.</w:t>
      </w:r>
    </w:p>
    <w:p>
      <w:pPr>
        <w:spacing w:before="200" w:after="120"/>
      </w:pPr>
      <w:r>
        <w:rPr>
          <w:rFonts w:ascii="Arial" w:cs="Arial" w:eastAsia="Arial" w:hAnsi="Arial"/>
          <w:b/>
          <w:bCs/>
          <w:color w:val="475569"/>
          <w:sz w:val="22"/>
          <w:szCs w:val="22"/>
        </w:rPr>
        <w:t xml:space="preserve">Crowded Positions (Avoid)</w:t>
      </w:r>
    </w:p>
    <w:p>
      <w:pPr>
        <w:pStyle w:val="ListParagraph"/>
        <w:numPr>
          <w:ilvl w:val="0"/>
          <w:numId w:val="2"/>
        </w:numPr>
        <w:spacing w:after="80"/>
      </w:pPr>
      <w:r>
        <w:rPr>
          <w:rFonts w:ascii="Arial" w:cs="Arial" w:eastAsia="Arial" w:hAnsi="Arial"/>
          <w:b/>
          <w:bCs/>
          <w:color w:val="1E293B"/>
          <w:sz w:val="20"/>
          <w:szCs w:val="20"/>
        </w:rPr>
        <w:t xml:space="preserve">Universal memory layer: </w:t>
      </w:r>
      <w:r>
        <w:rPr>
          <w:rFonts w:ascii="Arial" w:cs="Arial" w:eastAsia="Arial" w:hAnsi="Arial"/>
          <w:color w:val="374151"/>
          <w:sz w:val="20"/>
          <w:szCs w:val="20"/>
        </w:rPr>
        <w:t xml:space="preserve">Mem0 owns this position with 41K GitHub stars and $24M in funding. Competing head-on is inadvisable.</w:t>
      </w:r>
    </w:p>
    <w:p>
      <w:pPr>
        <w:pStyle w:val="ListParagraph"/>
        <w:numPr>
          <w:ilvl w:val="0"/>
          <w:numId w:val="2"/>
        </w:numPr>
        <w:spacing w:after="80"/>
      </w:pPr>
      <w:r>
        <w:rPr>
          <w:rFonts w:ascii="Arial" w:cs="Arial" w:eastAsia="Arial" w:hAnsi="Arial"/>
          <w:b/>
          <w:bCs/>
          <w:color w:val="1E293B"/>
          <w:sz w:val="20"/>
          <w:szCs w:val="20"/>
        </w:rPr>
        <w:t xml:space="preserve">Temporal knowledge graph: </w:t>
      </w:r>
      <w:r>
        <w:rPr>
          <w:rFonts w:ascii="Arial" w:cs="Arial" w:eastAsia="Arial" w:hAnsi="Arial"/>
          <w:color w:val="374151"/>
          <w:sz w:val="20"/>
          <w:szCs w:val="20"/>
        </w:rPr>
        <w:t xml:space="preserve">Zep/Graphiti has strong academic backing and benchmark performance here.</w:t>
      </w:r>
    </w:p>
    <w:p>
      <w:pPr>
        <w:spacing w:before="200" w:after="120"/>
      </w:pPr>
      <w:r>
        <w:rPr>
          <w:rFonts w:ascii="Arial" w:cs="Arial" w:eastAsia="Arial" w:hAnsi="Arial"/>
          <w:b/>
          <w:bCs/>
          <w:color w:val="475569"/>
          <w:sz w:val="22"/>
          <w:szCs w:val="22"/>
        </w:rPr>
        <w:t xml:space="preserve">Vulnerable Positions (Exploit)</w:t>
      </w:r>
    </w:p>
    <w:p>
      <w:pPr>
        <w:pStyle w:val="ListParagraph"/>
        <w:numPr>
          <w:ilvl w:val="0"/>
          <w:numId w:val="2"/>
        </w:numPr>
        <w:spacing w:after="80"/>
      </w:pPr>
      <w:r>
        <w:rPr>
          <w:rFonts w:ascii="Arial" w:cs="Arial" w:eastAsia="Arial" w:hAnsi="Arial"/>
          <w:b/>
          <w:bCs/>
          <w:color w:val="1E293B"/>
          <w:sz w:val="20"/>
          <w:szCs w:val="20"/>
        </w:rPr>
        <w:t xml:space="preserve">Mem0’s no-dashboard gap: </w:t>
      </w:r>
      <w:r>
        <w:rPr>
          <w:rFonts w:ascii="Arial" w:cs="Arial" w:eastAsia="Arial" w:hAnsi="Arial"/>
          <w:color w:val="374151"/>
          <w:sz w:val="20"/>
          <w:szCs w:val="20"/>
        </w:rPr>
        <w:t xml:space="preserve">Mem0’s own community has requested visualization tooling. Their lack of a visual explorer is a known gap.</w:t>
      </w:r>
    </w:p>
    <w:p>
      <w:pPr>
        <w:pStyle w:val="ListParagraph"/>
        <w:numPr>
          <w:ilvl w:val="0"/>
          <w:numId w:val="2"/>
        </w:numPr>
        <w:spacing w:after="80"/>
      </w:pPr>
      <w:r>
        <w:rPr>
          <w:rFonts w:ascii="Arial" w:cs="Arial" w:eastAsia="Arial" w:hAnsi="Arial"/>
          <w:b/>
          <w:bCs/>
          <w:color w:val="1E293B"/>
          <w:sz w:val="20"/>
          <w:szCs w:val="20"/>
        </w:rPr>
        <w:t xml:space="preserve">Zep’s reliance on Neo4j Browser: </w:t>
      </w:r>
      <w:r>
        <w:rPr>
          <w:rFonts w:ascii="Arial" w:cs="Arial" w:eastAsia="Arial" w:hAnsi="Arial"/>
          <w:color w:val="374151"/>
          <w:sz w:val="20"/>
          <w:szCs w:val="20"/>
        </w:rPr>
        <w:t xml:space="preserve">Using a generic graph database UI for agent memory is a suboptimal developer experience. Purpose-built tooling wins.</w:t>
      </w:r>
    </w:p>
    <w:p>
      <w:pPr>
        <w:pStyle w:val="ListParagraph"/>
        <w:numPr>
          <w:ilvl w:val="0"/>
          <w:numId w:val="2"/>
        </w:numPr>
        <w:spacing w:after="80"/>
      </w:pPr>
      <w:r>
        <w:rPr>
          <w:rFonts w:ascii="Arial" w:cs="Arial" w:eastAsia="Arial" w:hAnsi="Arial"/>
          <w:b/>
          <w:bCs/>
          <w:color w:val="1E293B"/>
          <w:sz w:val="20"/>
          <w:szCs w:val="20"/>
        </w:rPr>
        <w:t xml:space="preserve">Letta’s single-agent focus: </w:t>
      </w:r>
      <w:r>
        <w:rPr>
          <w:rFonts w:ascii="Arial" w:cs="Arial" w:eastAsia="Arial" w:hAnsi="Arial"/>
          <w:color w:val="374151"/>
          <w:sz w:val="20"/>
          <w:szCs w:val="20"/>
        </w:rPr>
        <w:t xml:space="preserve">Letta’s ADE excels at single-agent introspection but cannot show cross-session graph evolution or multi-agent memory topology.</w:t>
      </w:r>
    </w:p>
    <w:p>
      <w:pPr>
        <w:pStyle w:val="Heading1"/>
        <w:spacing w:before="360" w:after="200"/>
      </w:pPr>
      <w:r>
        <w:rPr>
          <w:rFonts w:ascii="Arial" w:cs="Arial" w:eastAsia="Arial" w:hAnsi="Arial"/>
          <w:b/>
          <w:bCs/>
          <w:color w:val="1E293B"/>
          <w:sz w:val="32"/>
          <w:szCs w:val="32"/>
        </w:rPr>
        <w:t xml:space="preserve">6. Competitive Landscape Map</w:t>
      </w:r>
    </w:p>
    <w:p>
      <w:pPr>
        <w:spacing w:after="120"/>
      </w:pPr>
      <w:r>
        <w:rPr>
          <w:rFonts w:ascii="Arial" w:cs="Arial" w:eastAsia="Arial" w:hAnsi="Arial"/>
          <w:color w:val="374151"/>
          <w:sz w:val="20"/>
          <w:szCs w:val="20"/>
        </w:rPr>
        <w:t xml:space="preserve">The landscape can be mapped across two strategic axes that reveal the most meaningful differences between competitors:</w:t>
      </w:r>
    </w:p>
    <w:p>
      <w:pPr>
        <w:spacing w:after="120"/>
      </w:pPr>
      <w:r>
        <w:rPr>
          <w:rFonts w:ascii="Arial" w:cs="Arial" w:eastAsia="Arial" w:hAnsi="Arial"/>
          <w:color w:val="374151"/>
          <w:sz w:val="20"/>
          <w:szCs w:val="20"/>
        </w:rPr>
        <w:t xml:space="preserve">X-axis: Data Model Richness (number of distinct node types, edge types, and scoring dimensions) — from Simple (vector-only) to Rich (typed graph with composite scoring).</w:t>
      </w:r>
    </w:p>
    <w:p>
      <w:pPr>
        <w:spacing w:after="120"/>
      </w:pPr>
      <w:r>
        <w:rPr>
          <w:rFonts w:ascii="Arial" w:cs="Arial" w:eastAsia="Arial" w:hAnsi="Arial"/>
          <w:color w:val="374151"/>
          <w:sz w:val="20"/>
          <w:szCs w:val="20"/>
        </w:rPr>
        <w:t xml:space="preserve">Y-axis: Developer Observability (quality of visual tooling for inspecting, debugging, and demonstrating memory behavior) — from API-Only to Visual Shell.</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
            </w:r>
          </w:p>
        </w:tc>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Simple Data Model</w:t>
            </w:r>
          </w:p>
        </w:tc>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Moderate</w:t>
            </w:r>
          </w:p>
        </w:tc>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Rich Data Model</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Visual Shell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1E293B"/>
                <w:sz w:val="20"/>
                <w:szCs w:val="20"/>
              </w:rPr>
              <w:t xml:space="preserve">Letta ADE</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rFonts w:ascii="Arial" w:cs="Arial" w:eastAsia="Arial" w:hAnsi="Arial"/>
                <w:b/>
                <w:bCs/>
                <w:color w:val="1E293B"/>
                <w:sz w:val="20"/>
                <w:szCs w:val="20"/>
              </w:rPr>
              <w:t xml:space="preserve">ENGRAM</w:t>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Dashboard</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Knowledge Plane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3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bCs/>
                <w:color w:val="475569"/>
                <w:sz w:val="20"/>
                <w:szCs w:val="20"/>
              </w:rPr>
              <w:t xml:space="preserve">API-Only</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LangGraph</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Mem0 / Graphlit</w:t>
            </w:r>
          </w:p>
        </w:tc>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Zep / Graphiti</w:t>
            </w:r>
          </w:p>
        </w:tc>
      </w:tr>
    </w:tbl>
    <w:p>
      <w:pPr>
        <w:spacing w:before="120"/>
      </w:pPr>
    </w:p>
    <w:p>
      <w:pPr>
        <w:spacing w:after="120"/>
      </w:pPr>
      <w:r>
        <w:rPr>
          <w:rFonts w:ascii="Arial" w:cs="Arial" w:eastAsia="Arial" w:hAnsi="Arial"/>
          <w:i/>
          <w:iCs/>
          <w:color w:val="374151"/>
          <w:sz w:val="20"/>
          <w:szCs w:val="20"/>
        </w:rPr>
        <w:t xml:space="preserve">Engram occupies the upper-right quadrant: the richest data model combined with the most advanced visual shell. This is a uniquely defensible position because it requires both deep domain modeling (8 node types, 16 edge types, 4-dimensional scoring) and significant front end engineering investment.</w:t>
      </w:r>
    </w:p>
    <w:p>
      <w:r>
        <w:br w:type="page"/>
      </w:r>
    </w:p>
    <w:p>
      <w:pPr>
        <w:pStyle w:val="Heading1"/>
        <w:spacing w:before="360" w:after="200"/>
      </w:pPr>
      <w:r>
        <w:rPr>
          <w:rFonts w:ascii="Arial" w:cs="Arial" w:eastAsia="Arial" w:hAnsi="Arial"/>
          <w:b/>
          <w:bCs/>
          <w:color w:val="1E293B"/>
          <w:sz w:val="32"/>
          <w:szCs w:val="32"/>
        </w:rPr>
        <w:t xml:space="preserve">7. Strategic Recommendations</w:t>
      </w:r>
    </w:p>
    <w:p>
      <w:pPr>
        <w:pStyle w:val="Heading2"/>
        <w:spacing w:before="280" w:after="160"/>
      </w:pPr>
      <w:r>
        <w:rPr>
          <w:rFonts w:ascii="Arial" w:cs="Arial" w:eastAsia="Arial" w:hAnsi="Arial"/>
          <w:b/>
          <w:bCs/>
          <w:color w:val="334155"/>
          <w:sz w:val="26"/>
          <w:szCs w:val="26"/>
        </w:rPr>
        <w:t xml:space="preserve">7.1 Lead — Define the Category</w:t>
      </w:r>
    </w:p>
    <w:p>
      <w:pPr>
        <w:pStyle w:val="ListParagraph"/>
        <w:numPr>
          <w:ilvl w:val="0"/>
          <w:numId w:val="2"/>
        </w:numPr>
        <w:spacing w:after="80"/>
      </w:pPr>
      <w:r>
        <w:rPr>
          <w:rFonts w:ascii="Arial" w:cs="Arial" w:eastAsia="Arial" w:hAnsi="Arial"/>
          <w:b/>
          <w:bCs/>
          <w:color w:val="1E293B"/>
          <w:sz w:val="20"/>
          <w:szCs w:val="20"/>
        </w:rPr>
        <w:t xml:space="preserve">Memory Observability: </w:t>
      </w:r>
      <w:r>
        <w:rPr>
          <w:rFonts w:ascii="Arial" w:cs="Arial" w:eastAsia="Arial" w:hAnsi="Arial"/>
          <w:color w:val="374151"/>
          <w:sz w:val="20"/>
          <w:szCs w:val="20"/>
        </w:rPr>
        <w:t xml:space="preserve">Position Engram as the observability platform for agent memory, analogous to what Datadog is for infrastructure. No competitor claims this category today.</w:t>
      </w:r>
    </w:p>
    <w:p>
      <w:pPr>
        <w:pStyle w:val="ListParagraph"/>
        <w:numPr>
          <w:ilvl w:val="0"/>
          <w:numId w:val="2"/>
        </w:numPr>
        <w:spacing w:after="80"/>
      </w:pPr>
      <w:r>
        <w:rPr>
          <w:rFonts w:ascii="Arial" w:cs="Arial" w:eastAsia="Arial" w:hAnsi="Arial"/>
          <w:b/>
          <w:bCs/>
          <w:color w:val="1E293B"/>
          <w:sz w:val="20"/>
          <w:szCs w:val="20"/>
        </w:rPr>
        <w:t xml:space="preserve">Visual Provenance: </w:t>
      </w:r>
      <w:r>
        <w:rPr>
          <w:rFonts w:ascii="Arial" w:cs="Arial" w:eastAsia="Arial" w:hAnsi="Arial"/>
          <w:color w:val="374151"/>
          <w:sz w:val="20"/>
          <w:szCs w:val="20"/>
        </w:rPr>
        <w:t xml:space="preserve">Invest in making the graph-to-chat provenance linking even richer (e.g., animated traversal paths showing how context was assembled). This is a capability competitors cannot easily replicate.</w:t>
      </w:r>
    </w:p>
    <w:p>
      <w:pPr>
        <w:pStyle w:val="ListParagraph"/>
        <w:numPr>
          <w:ilvl w:val="0"/>
          <w:numId w:val="2"/>
        </w:numPr>
        <w:spacing w:after="80"/>
      </w:pPr>
      <w:r>
        <w:rPr>
          <w:rFonts w:ascii="Arial" w:cs="Arial" w:eastAsia="Arial" w:hAnsi="Arial"/>
          <w:b/>
          <w:bCs/>
          <w:color w:val="1E293B"/>
          <w:sz w:val="20"/>
          <w:szCs w:val="20"/>
        </w:rPr>
        <w:t xml:space="preserve">Behavioral Intelligence: </w:t>
      </w:r>
      <w:r>
        <w:rPr>
          <w:rFonts w:ascii="Arial" w:cs="Arial" w:eastAsia="Arial" w:hAnsi="Arial"/>
          <w:color w:val="374151"/>
          <w:sz w:val="20"/>
          <w:szCs w:val="20"/>
        </w:rPr>
        <w:t xml:space="preserve">Double down on pattern detection and preference inference as first-class features. This is a clear gap across all competitors.</w:t>
      </w:r>
    </w:p>
    <w:p>
      <w:pPr>
        <w:pStyle w:val="Heading2"/>
        <w:spacing w:before="280" w:after="160"/>
      </w:pPr>
      <w:r>
        <w:rPr>
          <w:rFonts w:ascii="Arial" w:cs="Arial" w:eastAsia="Arial" w:hAnsi="Arial"/>
          <w:b/>
          <w:bCs/>
          <w:color w:val="334155"/>
          <w:sz w:val="26"/>
          <w:szCs w:val="26"/>
        </w:rPr>
        <w:t xml:space="preserve">7.2 Fast Follow — Match Market Expectations</w:t>
      </w:r>
    </w:p>
    <w:p>
      <w:pPr>
        <w:pStyle w:val="ListParagraph"/>
        <w:numPr>
          <w:ilvl w:val="0"/>
          <w:numId w:val="2"/>
        </w:numPr>
        <w:spacing w:after="80"/>
      </w:pPr>
      <w:r>
        <w:rPr>
          <w:rFonts w:ascii="Arial" w:cs="Arial" w:eastAsia="Arial" w:hAnsi="Arial"/>
          <w:b/>
          <w:bCs/>
          <w:color w:val="1E293B"/>
          <w:sz w:val="20"/>
          <w:szCs w:val="20"/>
        </w:rPr>
        <w:t xml:space="preserve">MCP Server: </w:t>
      </w:r>
      <w:r>
        <w:rPr>
          <w:rFonts w:ascii="Arial" w:cs="Arial" w:eastAsia="Arial" w:hAnsi="Arial"/>
          <w:color w:val="374151"/>
          <w:sz w:val="20"/>
          <w:szCs w:val="20"/>
        </w:rPr>
        <w:t xml:space="preserve">Ship an MCP server so Engram can be used from Claude Desktop, Cursor, and VS Code. Mem0, Zep, and Knowledge Plane all have MCP integrations.</w:t>
      </w:r>
    </w:p>
    <w:p>
      <w:pPr>
        <w:pStyle w:val="ListParagraph"/>
        <w:numPr>
          <w:ilvl w:val="0"/>
          <w:numId w:val="2"/>
        </w:numPr>
        <w:spacing w:after="80"/>
      </w:pPr>
      <w:r>
        <w:rPr>
          <w:rFonts w:ascii="Arial" w:cs="Arial" w:eastAsia="Arial" w:hAnsi="Arial"/>
          <w:b/>
          <w:bCs/>
          <w:color w:val="1E293B"/>
          <w:sz w:val="20"/>
          <w:szCs w:val="20"/>
        </w:rPr>
        <w:t xml:space="preserve">Open-Source Core: </w:t>
      </w:r>
      <w:r>
        <w:rPr>
          <w:rFonts w:ascii="Arial" w:cs="Arial" w:eastAsia="Arial" w:hAnsi="Arial"/>
          <w:color w:val="374151"/>
          <w:sz w:val="20"/>
          <w:szCs w:val="20"/>
        </w:rPr>
        <w:t xml:space="preserve">Consider open-sourcing the front end shell to drive adoption and community contribution. Mem0 (41K stars) and Letta demonstrate the power of open-source distribution.</w:t>
      </w:r>
    </w:p>
    <w:p>
      <w:pPr>
        <w:pStyle w:val="Heading2"/>
        <w:spacing w:before="280" w:after="160"/>
      </w:pPr>
      <w:r>
        <w:rPr>
          <w:rFonts w:ascii="Arial" w:cs="Arial" w:eastAsia="Arial" w:hAnsi="Arial"/>
          <w:b/>
          <w:bCs/>
          <w:color w:val="334155"/>
          <w:sz w:val="26"/>
          <w:szCs w:val="26"/>
        </w:rPr>
        <w:t xml:space="preserve">7.3 Monitor — Track but Don’t Invest Yet</w:t>
      </w:r>
    </w:p>
    <w:p>
      <w:pPr>
        <w:pStyle w:val="ListParagraph"/>
        <w:numPr>
          <w:ilvl w:val="0"/>
          <w:numId w:val="2"/>
        </w:numPr>
        <w:spacing w:after="80"/>
      </w:pPr>
      <w:r>
        <w:rPr>
          <w:rFonts w:ascii="Arial" w:cs="Arial" w:eastAsia="Arial" w:hAnsi="Arial"/>
          <w:b/>
          <w:bCs/>
          <w:color w:val="1E293B"/>
          <w:sz w:val="20"/>
          <w:szCs w:val="20"/>
        </w:rPr>
        <w:t xml:space="preserve">Multi-agent memory sharing: </w:t>
      </w:r>
      <w:r>
        <w:rPr>
          <w:rFonts w:ascii="Arial" w:cs="Arial" w:eastAsia="Arial" w:hAnsi="Arial"/>
          <w:color w:val="374151"/>
          <w:sz w:val="20"/>
          <w:szCs w:val="20"/>
        </w:rPr>
        <w:t xml:space="preserve">Knowledge Plane’s team-wide memory sharing is interesting but early. Monitor adoption before investing.</w:t>
      </w:r>
    </w:p>
    <w:p>
      <w:pPr>
        <w:pStyle w:val="ListParagraph"/>
        <w:numPr>
          <w:ilvl w:val="0"/>
          <w:numId w:val="2"/>
        </w:numPr>
        <w:spacing w:after="80"/>
      </w:pPr>
      <w:r>
        <w:rPr>
          <w:rFonts w:ascii="Arial" w:cs="Arial" w:eastAsia="Arial" w:hAnsi="Arial"/>
          <w:b/>
          <w:bCs/>
          <w:color w:val="1E293B"/>
          <w:sz w:val="20"/>
          <w:szCs w:val="20"/>
        </w:rPr>
        <w:t xml:space="preserve">Multimodal memory: </w:t>
      </w:r>
      <w:r>
        <w:rPr>
          <w:rFonts w:ascii="Arial" w:cs="Arial" w:eastAsia="Arial" w:hAnsi="Arial"/>
          <w:color w:val="374151"/>
          <w:sz w:val="20"/>
          <w:szCs w:val="20"/>
        </w:rPr>
        <w:t xml:space="preserve">Graphlit’s multimodal ingestion (images, audio, video) is a niche capability. Relevant if Engram expands beyond text-based agent interactions.</w:t>
      </w:r>
    </w:p>
    <w:p>
      <w:pPr>
        <w:pStyle w:val="Heading1"/>
        <w:spacing w:before="360" w:after="200"/>
      </w:pPr>
      <w:r>
        <w:rPr>
          <w:rFonts w:ascii="Arial" w:cs="Arial" w:eastAsia="Arial" w:hAnsi="Arial"/>
          <w:b/>
          <w:bCs/>
          <w:color w:val="1E293B"/>
          <w:sz w:val="32"/>
          <w:szCs w:val="32"/>
        </w:rPr>
        <w:t xml:space="preserve">8. Key Takeaway</w:t>
      </w:r>
    </w:p>
    <w:p>
      <w:pPr>
        <w:spacing w:after="120"/>
      </w:pPr>
      <w:r>
        <w:rPr>
          <w:rFonts w:ascii="Arial" w:cs="Arial" w:eastAsia="Arial" w:hAnsi="Arial"/>
          <w:color w:val="374151"/>
          <w:sz w:val="20"/>
          <w:szCs w:val="20"/>
        </w:rPr>
        <w:t xml:space="preserve">Engram’s front end shell is not just a visualization tool; it is a competitive moat. In a market where every competitor is racing to build better graph memory backends, Engram’s investment in a purpose-built observability shell with multi-session replay, visual provenance tracing, behavioral pattern visualization, and composite score inspection creates a differentiated developer and sales experience that no competitor currently matches.</w:t>
      </w:r>
    </w:p>
    <w:p>
      <w:pPr>
        <w:spacing w:after="120"/>
      </w:pPr>
      <w:r>
        <w:rPr>
          <w:rFonts w:ascii="Arial" w:cs="Arial" w:eastAsia="Arial" w:hAnsi="Arial"/>
          <w:color w:val="374151"/>
          <w:sz w:val="20"/>
          <w:szCs w:val="20"/>
        </w:rPr>
        <w:t xml:space="preserve">The recommended positioning is: Engram is the memory control plane for AI agents — the only platform that lets you see, debug, and demonstrate how your agent’s knowledge graph evolves across sessions.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Engram — Competitive Analysis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2026-02-13T15:58:06.087Z</dcterms:created>
  <dcterms:modified xsi:type="dcterms:W3CDTF">2026-02-13T15:58:06.087Z</dcterms:modified>
</cp:coreProperties>
</file>

<file path=docProps/custom.xml><?xml version="1.0" encoding="utf-8"?>
<Properties xmlns="http://schemas.openxmlformats.org/officeDocument/2006/custom-properties" xmlns:vt="http://schemas.openxmlformats.org/officeDocument/2006/docPropsVTypes"/>
</file>