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product-catalog-architecture-plan"/>
    <w:p>
      <w:pPr>
        <w:pStyle w:val="Heading1"/>
      </w:pPr>
      <w:r>
        <w:t xml:space="preserve">Product Catalog Architecture Plan</w:t>
      </w:r>
    </w:p>
    <w:bookmarkStart w:id="21" w:name="introduction"/>
    <w:p>
      <w:pPr>
        <w:pStyle w:val="Heading2"/>
      </w:pPr>
      <w:r>
        <w:t xml:space="preserve">Introduction</w:t>
      </w:r>
    </w:p>
    <w:p>
      <w:pPr>
        <w:pStyle w:val="FirstParagraph"/>
      </w:pPr>
      <w:r>
        <w:t xml:space="preserve">The</w:t>
      </w:r>
      <w:r>
        <w:t xml:space="preserve"> </w:t>
      </w:r>
      <w:r>
        <w:rPr>
          <w:b/>
          <w:bCs/>
        </w:rPr>
        <w:t xml:space="preserve">Product Catalog</w:t>
      </w:r>
      <w:r>
        <w:t xml:space="preserve"> </w:t>
      </w:r>
      <w:r>
        <w:t xml:space="preserve">forms the foundational block of a maritime ship chandlery platform, serving as the master reference of all goods and their standard codes. This plan details the architecture for building the catalog from scratch – incorporating industry-standard IMPA/ISSA codes, a robust PostgreSQL schema, search and matching capabilities, document processing for requisitions, and integration of modern frameworks. Emphasis is placed on using</w:t>
      </w:r>
      <w:r>
        <w:t xml:space="preserve"> </w:t>
      </w:r>
      <w:r>
        <w:rPr>
          <w:b/>
          <w:bCs/>
        </w:rPr>
        <w:t xml:space="preserve">IMPA</w:t>
      </w:r>
      <w:r>
        <w:t xml:space="preserve"> </w:t>
      </w:r>
      <w:r>
        <w:t xml:space="preserve">(International Marine Purchasing Association) and</w:t>
      </w:r>
      <w:r>
        <w:t xml:space="preserve"> </w:t>
      </w:r>
      <w:r>
        <w:rPr>
          <w:b/>
          <w:bCs/>
        </w:rPr>
        <w:t xml:space="preserve">ISSA</w:t>
      </w:r>
      <w:r>
        <w:t xml:space="preserve"> </w:t>
      </w:r>
      <w:r>
        <w:t xml:space="preserve">(International Shipsuppliers &amp; Services Association) code data as the baseline, and leveraging state-of-the-art tools like pgvector, Meilisearch, NestJS, and LLM-driven Document AI to deliver a comprehensive solution.</w:t>
      </w:r>
    </w:p>
    <w:bookmarkEnd w:id="21"/>
    <w:bookmarkStart w:id="29" w:name="Xd851d56157a1a840f27682fea8c92303328433d"/>
    <w:p>
      <w:pPr>
        <w:pStyle w:val="Heading2"/>
      </w:pPr>
      <w:r>
        <w:t xml:space="preserve">Product Master Data Model (PostgreSQL Schema)</w:t>
      </w:r>
    </w:p>
    <w:p>
      <w:pPr>
        <w:pStyle w:val="FirstParagraph"/>
      </w:pPr>
      <w:r>
        <w:t xml:space="preserve">At the core is a</w:t>
      </w:r>
      <w:r>
        <w:t xml:space="preserve"> </w:t>
      </w:r>
      <w:r>
        <w:rPr>
          <w:b/>
          <w:bCs/>
        </w:rPr>
        <w:t xml:space="preserve">PostgreSQL 16+</w:t>
      </w:r>
      <w:r>
        <w:t xml:space="preserve"> </w:t>
      </w:r>
      <w:r>
        <w:t xml:space="preserve">database that stores the product master records. Each product corresponds to a unique SKU, primarily identified by its IMPA code. The schema is designed to capture all essential fields while remaining extensible for future needs:</w:t>
      </w:r>
    </w:p>
    <w:p>
      <w:pPr>
        <w:pStyle w:val="Compact"/>
        <w:numPr>
          <w:ilvl w:val="0"/>
          <w:numId w:val="1001"/>
        </w:numPr>
      </w:pPr>
      <w:r>
        <w:rPr>
          <w:b/>
          <w:bCs/>
        </w:rPr>
        <w:t xml:space="preserve">IMPA Code</w:t>
      </w:r>
      <w:r>
        <w:t xml:space="preserve"> </w:t>
      </w:r>
      <w:r>
        <w:t xml:space="preserve">– six-digit unique code from the Marine Stores Guide (MSG) serving as primary key (e.g.</w:t>
      </w:r>
      <w:r>
        <w:t xml:space="preserve"> </w:t>
      </w:r>
      <w:r>
        <w:rPr>
          <w:rStyle w:val="VerbatimChar"/>
        </w:rPr>
        <w:t xml:space="preserve">592524</w:t>
      </w:r>
      <w:r>
        <w:t xml:space="preserve"> </w:t>
      </w:r>
      <w:r>
        <w:t xml:space="preserve">for an item)</w:t>
      </w:r>
      <w:hyperlink r:id="rId22">
        <w:r>
          <w:rPr>
            <w:rStyle w:val="Hyperlink"/>
          </w:rPr>
          <w:t xml:space="preserve">[1]</w:t>
        </w:r>
      </w:hyperlink>
      <w:r>
        <w:t xml:space="preserve">. These codes are globally recognized and have remained consistent for 40+ years</w:t>
      </w:r>
      <w:hyperlink r:id="rId22">
        <w:r>
          <w:rPr>
            <w:rStyle w:val="Hyperlink"/>
          </w:rPr>
          <w:t xml:space="preserve">[1]</w:t>
        </w:r>
      </w:hyperlink>
      <w:r>
        <w:t xml:space="preserve">, ensuring standardized references across suppliers.</w:t>
      </w:r>
    </w:p>
    <w:p>
      <w:pPr>
        <w:pStyle w:val="Compact"/>
        <w:numPr>
          <w:ilvl w:val="0"/>
          <w:numId w:val="1001"/>
        </w:numPr>
      </w:pPr>
      <w:r>
        <w:rPr>
          <w:b/>
          <w:bCs/>
        </w:rPr>
        <w:t xml:space="preserve">ISSA Code</w:t>
      </w:r>
      <w:r>
        <w:t xml:space="preserve"> </w:t>
      </w:r>
      <w:r>
        <w:t xml:space="preserve">– optional corresponding ISSA catalog code for cross-reference</w:t>
      </w:r>
      <w:hyperlink r:id="rId23">
        <w:r>
          <w:rPr>
            <w:rStyle w:val="Hyperlink"/>
          </w:rPr>
          <w:t xml:space="preserve">[2]</w:t>
        </w:r>
      </w:hyperlink>
      <w:r>
        <w:t xml:space="preserve">. Many suppliers use ISSA’s item numbering (60,000+ items) in parallel, so storing it adds flexibility</w:t>
      </w:r>
      <w:hyperlink r:id="rId24">
        <w:r>
          <w:rPr>
            <w:rStyle w:val="Hyperlink"/>
          </w:rPr>
          <w:t xml:space="preserve">[3]</w:t>
        </w:r>
      </w:hyperlink>
      <w:r>
        <w:t xml:space="preserve">.</w:t>
      </w:r>
    </w:p>
    <w:p>
      <w:pPr>
        <w:pStyle w:val="Compact"/>
        <w:numPr>
          <w:ilvl w:val="0"/>
          <w:numId w:val="1001"/>
        </w:numPr>
      </w:pPr>
      <w:r>
        <w:rPr>
          <w:b/>
          <w:bCs/>
        </w:rPr>
        <w:t xml:space="preserve">Description</w:t>
      </w:r>
      <w:r>
        <w:t xml:space="preserve"> </w:t>
      </w:r>
      <w:r>
        <w:t xml:space="preserve">– official product name/description as per the catalog (e.g.</w:t>
      </w:r>
      <w:r>
        <w:t xml:space="preserve"> </w:t>
      </w:r>
      <w:r>
        <w:rPr>
          <w:i/>
          <w:iCs/>
        </w:rPr>
        <w:t xml:space="preserve">“Chisel 1/2″ sq. cranked”</w:t>
      </w:r>
      <w:r>
        <w:t xml:space="preserve">). This is used for display and search.</w:t>
      </w:r>
    </w:p>
    <w:p>
      <w:pPr>
        <w:pStyle w:val="Compact"/>
        <w:numPr>
          <w:ilvl w:val="0"/>
          <w:numId w:val="1001"/>
        </w:numPr>
      </w:pPr>
      <w:r>
        <w:rPr>
          <w:b/>
          <w:bCs/>
        </w:rPr>
        <w:t xml:space="preserve">Category Hierarchy</w:t>
      </w:r>
      <w:r>
        <w:t xml:space="preserve"> </w:t>
      </w:r>
      <w:r>
        <w:t xml:space="preserve">– classification of the item into category/subcategory as defined by IMPA. The first two digits of the IMPA code indicate one of ~35 main categories (e.g.</w:t>
      </w:r>
      <w:r>
        <w:t xml:space="preserve"> </w:t>
      </w:r>
      <w:r>
        <w:rPr>
          <w:rStyle w:val="VerbatimChar"/>
        </w:rPr>
        <w:t xml:space="preserve">59</w:t>
      </w:r>
      <w:r>
        <w:t xml:space="preserve"> </w:t>
      </w:r>
      <w:r>
        <w:t xml:space="preserve">=</w:t>
      </w:r>
      <w:r>
        <w:t xml:space="preserve"> </w:t>
      </w:r>
      <w:r>
        <w:rPr>
          <w:i/>
          <w:iCs/>
        </w:rPr>
        <w:t xml:space="preserve">Tools: Pneumatic &amp; Electrical</w:t>
      </w:r>
      <w:r>
        <w:t xml:space="preserve">,</w:t>
      </w:r>
      <w:r>
        <w:t xml:space="preserve"> </w:t>
      </w:r>
      <w:r>
        <w:rPr>
          <w:rStyle w:val="VerbatimChar"/>
        </w:rPr>
        <w:t xml:space="preserve">61</w:t>
      </w:r>
      <w:r>
        <w:t xml:space="preserve"> </w:t>
      </w:r>
      <w:r>
        <w:t xml:space="preserve">=</w:t>
      </w:r>
      <w:r>
        <w:t xml:space="preserve"> </w:t>
      </w:r>
      <w:r>
        <w:rPr>
          <w:i/>
          <w:iCs/>
        </w:rPr>
        <w:t xml:space="preserve">Hand Tools</w:t>
      </w:r>
      <w:r>
        <w:t xml:space="preserve">, etc.</w:t>
      </w:r>
      <w:hyperlink r:id="rId25">
        <w:r>
          <w:rPr>
            <w:rStyle w:val="Hyperlink"/>
          </w:rPr>
          <w:t xml:space="preserve">[4]</w:t>
        </w:r>
      </w:hyperlink>
      <w:hyperlink r:id="rId26">
        <w:r>
          <w:rPr>
            <w:rStyle w:val="Hyperlink"/>
          </w:rPr>
          <w:t xml:space="preserve">[5]</w:t>
        </w:r>
      </w:hyperlink>
      <w:r>
        <w:t xml:space="preserve">). We maintain a</w:t>
      </w:r>
      <w:r>
        <w:t xml:space="preserve"> </w:t>
      </w:r>
      <w:r>
        <w:rPr>
          <w:b/>
          <w:bCs/>
        </w:rPr>
        <w:t xml:space="preserve">categories table</w:t>
      </w:r>
      <w:r>
        <w:t xml:space="preserve"> </w:t>
      </w:r>
      <w:r>
        <w:t xml:space="preserve">for the hierarchy (e.g. main category 59 = “Pneumatic &amp; Electrical Tools” with subcategories) to enable faceted browsing and analytics.</w:t>
      </w:r>
    </w:p>
    <w:p>
      <w:pPr>
        <w:pStyle w:val="Compact"/>
        <w:numPr>
          <w:ilvl w:val="0"/>
          <w:numId w:val="1001"/>
        </w:numPr>
      </w:pPr>
      <w:r>
        <w:rPr>
          <w:b/>
          <w:bCs/>
        </w:rPr>
        <w:t xml:space="preserve">Unit of Measure</w:t>
      </w:r>
      <w:r>
        <w:t xml:space="preserve"> </w:t>
      </w:r>
      <w:r>
        <w:t xml:space="preserve">– unit in which the item is sold (e.g.</w:t>
      </w:r>
      <w:r>
        <w:t xml:space="preserve"> </w:t>
      </w:r>
      <w:r>
        <w:rPr>
          <w:rStyle w:val="VerbatimChar"/>
        </w:rPr>
        <w:t xml:space="preserve">EA</w:t>
      </w:r>
      <w:r>
        <w:t xml:space="preserve"> </w:t>
      </w:r>
      <w:r>
        <w:t xml:space="preserve">each,</w:t>
      </w:r>
      <w:r>
        <w:t xml:space="preserve"> </w:t>
      </w:r>
      <w:r>
        <w:rPr>
          <w:rStyle w:val="VerbatimChar"/>
        </w:rPr>
        <w:t xml:space="preserve">BOX</w:t>
      </w:r>
      <w:r>
        <w:t xml:space="preserve">,</w:t>
      </w:r>
      <w:r>
        <w:t xml:space="preserve"> </w:t>
      </w:r>
      <w:r>
        <w:rPr>
          <w:rStyle w:val="VerbatimChar"/>
        </w:rPr>
        <w:t xml:space="preserve">L</w:t>
      </w:r>
      <w:r>
        <w:t xml:space="preserve"> </w:t>
      </w:r>
      <w:r>
        <w:t xml:space="preserve">liters, etc.), standardized across the catalog.</w:t>
      </w:r>
    </w:p>
    <w:p>
      <w:pPr>
        <w:pStyle w:val="Compact"/>
        <w:numPr>
          <w:ilvl w:val="0"/>
          <w:numId w:val="1001"/>
        </w:numPr>
      </w:pPr>
      <w:r>
        <w:rPr>
          <w:b/>
          <w:bCs/>
        </w:rPr>
        <w:t xml:space="preserve">Manufacturer &amp; Part Number</w:t>
      </w:r>
      <w:r>
        <w:t xml:space="preserve"> </w:t>
      </w:r>
      <w:r>
        <w:t xml:space="preserve">– manufacturer name and part/model number, if applicable. This allows mapping vendor-specific identifiers to the standard item.</w:t>
      </w:r>
    </w:p>
    <w:p>
      <w:pPr>
        <w:pStyle w:val="Compact"/>
        <w:numPr>
          <w:ilvl w:val="0"/>
          <w:numId w:val="1001"/>
        </w:numPr>
      </w:pPr>
      <w:r>
        <w:rPr>
          <w:b/>
          <w:bCs/>
        </w:rPr>
        <w:t xml:space="preserve">Equivalents / Alternate References</w:t>
      </w:r>
      <w:r>
        <w:t xml:space="preserve"> </w:t>
      </w:r>
      <w:r>
        <w:t xml:space="preserve">– free-text or linked references to equivalent items or legacy codes. This field can list alternate SKU codes, old IMPA editions, or manufacturer-specific codes that correspond to this item. It aids in search and in matching requisitions where a different code or name is used.</w:t>
      </w:r>
    </w:p>
    <w:p>
      <w:pPr>
        <w:pStyle w:val="Compact"/>
        <w:numPr>
          <w:ilvl w:val="0"/>
          <w:numId w:val="1001"/>
        </w:numPr>
      </w:pPr>
      <w:r>
        <w:rPr>
          <w:b/>
          <w:bCs/>
        </w:rPr>
        <w:t xml:space="preserve">IHM Compliance Flags</w:t>
      </w:r>
      <w:r>
        <w:t xml:space="preserve"> </w:t>
      </w:r>
      <w:r>
        <w:t xml:space="preserve">– boolean or enumerated flags indicating if the item contains any</w:t>
      </w:r>
      <w:r>
        <w:t xml:space="preserve"> </w:t>
      </w:r>
      <w:r>
        <w:rPr>
          <w:b/>
          <w:bCs/>
        </w:rPr>
        <w:t xml:space="preserve">Inventory of Hazardous Materials (IHM)</w:t>
      </w:r>
      <w:r>
        <w:t xml:space="preserve"> </w:t>
      </w:r>
      <w:r>
        <w:t xml:space="preserve">substances. (E.g. asbestos, ozone-depleting substances, etc.). This is important for regulatory compliance checks. The MSG data license includes IHM relevancy info for each item</w:t>
      </w:r>
      <w:hyperlink r:id="rId27">
        <w:r>
          <w:rPr>
            <w:rStyle w:val="Hyperlink"/>
          </w:rPr>
          <w:t xml:space="preserve">[6]</w:t>
        </w:r>
      </w:hyperlink>
      <w:r>
        <w:t xml:space="preserve">, which we store as attributes (e.g.</w:t>
      </w:r>
      <w:r>
        <w:t xml:space="preserve"> </w:t>
      </w:r>
      <w:r>
        <w:rPr>
          <w:rStyle w:val="VerbatimChar"/>
        </w:rPr>
        <w:t xml:space="preserve">ihm_hazardous = TRUE/FALSE</w:t>
      </w:r>
      <w:r>
        <w:t xml:space="preserve">).</w:t>
      </w:r>
    </w:p>
    <w:p>
      <w:pPr>
        <w:pStyle w:val="Compact"/>
        <w:numPr>
          <w:ilvl w:val="0"/>
          <w:numId w:val="1001"/>
        </w:numPr>
      </w:pPr>
      <w:r>
        <w:rPr>
          <w:b/>
          <w:bCs/>
        </w:rPr>
        <w:t xml:space="preserve">Attachments</w:t>
      </w:r>
      <w:r>
        <w:t xml:space="preserve"> </w:t>
      </w:r>
      <w:r>
        <w:t xml:space="preserve">– links to any related documents or media, such as product images, datasheets, or certificates. Rather than storing large binaries in the database, the design uses cloud object storage (e.g. an S3 bucket) to hold files; the DB stores the file URLs or keys. This approach offloads heavy content from the database and simplifies web delivery. (For example, requisition PDFs are uploaded to S3 as part of processing</w:t>
      </w:r>
      <w:hyperlink r:id="rId28">
        <w:r>
          <w:rPr>
            <w:rStyle w:val="Hyperlink"/>
          </w:rPr>
          <w:t xml:space="preserve">[7]</w:t>
        </w:r>
      </w:hyperlink>
      <w:r>
        <w:t xml:space="preserve">, illustrating our strategy of using external storage for documents).</w:t>
      </w:r>
    </w:p>
    <w:p>
      <w:pPr>
        <w:pStyle w:val="FirstParagraph"/>
      </w:pPr>
      <w:r>
        <w:rPr>
          <w:b/>
          <w:bCs/>
        </w:rPr>
        <w:t xml:space="preserve">Schema extensibility:</w:t>
      </w:r>
      <w:r>
        <w:t xml:space="preserve"> </w:t>
      </w:r>
      <w:r>
        <w:t xml:space="preserve">We use a normalized design for core fields and a JSONB column for any additional attributes that might emerge (to avoid frequent schema changes for minor field additions). This “structured + schemaless” approach future-proofs the catalog. Standard relational schema migration tools (or NestJS’s ORM migrations) will manage controlled schema evolution. In summary, PostgreSQL provides a solid ACID-compliant foundation (critical for procurement data integrity) while extensions like JSONB and foreign tables allow flexible growth.</w:t>
      </w:r>
    </w:p>
    <w:bookmarkEnd w:id="29"/>
    <w:bookmarkStart w:id="33" w:name="X61d026dc4ee4cddce700ae8f282a178d9ec1d09"/>
    <w:p>
      <w:pPr>
        <w:pStyle w:val="Heading2"/>
      </w:pPr>
      <w:r>
        <w:t xml:space="preserve">Incorporating IMPA &amp; ISSA Codes as Foundation</w:t>
      </w:r>
    </w:p>
    <w:p>
      <w:pPr>
        <w:pStyle w:val="FirstParagraph"/>
      </w:pPr>
      <w:r>
        <w:rPr>
          <w:b/>
          <w:bCs/>
        </w:rPr>
        <w:t xml:space="preserve">IMPA’s Marine Stores Guide (MSG)</w:t>
      </w:r>
      <w:r>
        <w:t xml:space="preserve"> </w:t>
      </w:r>
      <w:r>
        <w:t xml:space="preserve">is used as the authoritative source for product data. The MSG provides</w:t>
      </w:r>
      <w:r>
        <w:t xml:space="preserve"> </w:t>
      </w:r>
      <w:r>
        <w:rPr>
          <w:b/>
          <w:bCs/>
        </w:rPr>
        <w:t xml:space="preserve">50,000+ unique six-digit codes across 35 main categories</w:t>
      </w:r>
      <w:r>
        <w:t xml:space="preserve">, covering everything a ship might need</w:t>
      </w:r>
      <w:hyperlink r:id="rId22">
        <w:r>
          <w:rPr>
            <w:rStyle w:val="Hyperlink"/>
          </w:rPr>
          <w:t xml:space="preserve">[1]</w:t>
        </w:r>
      </w:hyperlink>
      <w:r>
        <w:t xml:space="preserve">. We seed our product master with this data to ensure global standardization from day one. These codes break language barriers and enable “exact description” ordering worldwide</w:t>
      </w:r>
      <w:hyperlink r:id="rId22">
        <w:r>
          <w:rPr>
            <w:rStyle w:val="Hyperlink"/>
          </w:rPr>
          <w:t xml:space="preserve">[1]</w:t>
        </w:r>
      </w:hyperlink>
      <w:r>
        <w:t xml:space="preserve">. For completeness, we also integrate the</w:t>
      </w:r>
      <w:r>
        <w:t xml:space="preserve"> </w:t>
      </w:r>
      <w:r>
        <w:rPr>
          <w:b/>
          <w:bCs/>
        </w:rPr>
        <w:t xml:space="preserve">ISSA Ship Stores Catalogue</w:t>
      </w:r>
      <w:r>
        <w:t xml:space="preserve"> </w:t>
      </w:r>
      <w:r>
        <w:t xml:space="preserve">(around 60,000 items) by cross-referencing items with their ISSA codes</w:t>
      </w:r>
      <w:hyperlink r:id="rId23">
        <w:r>
          <w:rPr>
            <w:rStyle w:val="Hyperlink"/>
          </w:rPr>
          <w:t xml:space="preserve">[2]</w:t>
        </w:r>
      </w:hyperlink>
      <w:r>
        <w:t xml:space="preserve">. Each product record can thus have both an IMPA and an ISSA code, allowing searches by either coding system.</w:t>
      </w:r>
    </w:p>
    <w:p>
      <w:pPr>
        <w:pStyle w:val="BodyText"/>
      </w:pPr>
      <w:r>
        <w:rPr>
          <w:b/>
          <w:bCs/>
        </w:rPr>
        <w:t xml:space="preserve">Data ingestion options:</w:t>
      </w:r>
      <w:r>
        <w:t xml:space="preserve"> </w:t>
      </w:r>
      <w:r>
        <w:t xml:space="preserve">We support two integration methods for populating and updating the catalog from IMPA/ISSA sources:</w:t>
      </w:r>
    </w:p>
    <w:p>
      <w:pPr>
        <w:numPr>
          <w:ilvl w:val="0"/>
          <w:numId w:val="1002"/>
        </w:numPr>
      </w:pPr>
      <w:r>
        <w:rPr>
          <w:b/>
          <w:bCs/>
        </w:rPr>
        <w:t xml:space="preserve">Batch CSV/Excel Import:</w:t>
      </w:r>
      <w:r>
        <w:t xml:space="preserve"> </w:t>
      </w:r>
      <w:r>
        <w:t xml:space="preserve">We obtain the MSG Data Licence which provides the full catalog in CSV/Excel format with biannual updates</w:t>
      </w:r>
      <w:hyperlink r:id="rId23">
        <w:r>
          <w:rPr>
            <w:rStyle w:val="Hyperlink"/>
          </w:rPr>
          <w:t xml:space="preserve">[2]</w:t>
        </w:r>
      </w:hyperlink>
      <w:r>
        <w:t xml:space="preserve">. The platform includes an</w:t>
      </w:r>
      <w:r>
        <w:t xml:space="preserve"> </w:t>
      </w:r>
      <w:r>
        <w:rPr>
          <w:b/>
          <w:bCs/>
        </w:rPr>
        <w:t xml:space="preserve">import tool</w:t>
      </w:r>
      <w:r>
        <w:t xml:space="preserve"> </w:t>
      </w:r>
      <w:r>
        <w:t xml:space="preserve">to ingest this data into Postgres. The CSV contains fields like impa_code, description, unit, etc., which we map to our schema. Given the file size (50k+ rows), the import runs as a background job (via BullMQ) to avoid blocking requests. We use efficient upsert logic – e.g., leveraging PostgreSQL’s</w:t>
      </w:r>
      <w:r>
        <w:t xml:space="preserve"> </w:t>
      </w:r>
      <w:r>
        <w:rPr>
          <w:rStyle w:val="VerbatimChar"/>
        </w:rPr>
        <w:t xml:space="preserve">COPY</w:t>
      </w:r>
      <w:r>
        <w:t xml:space="preserve"> </w:t>
      </w:r>
      <w:r>
        <w:t xml:space="preserve">command or batch inserts – to refresh existing items or add new ones from each update. This ensures the master data stays current with minimal manual effort.</w:t>
      </w:r>
    </w:p>
    <w:p>
      <w:pPr>
        <w:numPr>
          <w:ilvl w:val="0"/>
          <w:numId w:val="1002"/>
        </w:numPr>
      </w:pPr>
      <w:r>
        <w:rPr>
          <w:b/>
          <w:bCs/>
        </w:rPr>
        <w:t xml:space="preserve">Live API Sync:</w:t>
      </w:r>
      <w:r>
        <w:t xml:space="preserve"> </w:t>
      </w:r>
      <w:r>
        <w:t xml:space="preserve">In addition, the</w:t>
      </w:r>
      <w:r>
        <w:t xml:space="preserve"> </w:t>
      </w:r>
      <w:r>
        <w:rPr>
          <w:b/>
          <w:bCs/>
        </w:rPr>
        <w:t xml:space="preserve">MSG Online API</w:t>
      </w:r>
      <w:r>
        <w:t xml:space="preserve"> </w:t>
      </w:r>
      <w:r>
        <w:t xml:space="preserve">(launched 2022) can be used for more frequent or on-demand updates</w:t>
      </w:r>
      <w:hyperlink r:id="rId23">
        <w:r>
          <w:rPr>
            <w:rStyle w:val="Hyperlink"/>
          </w:rPr>
          <w:t xml:space="preserve">[2]</w:t>
        </w:r>
      </w:hyperlink>
      <w:r>
        <w:t xml:space="preserve">. The API allows querying the latest product info by code and was first adopted in production by a vendor in 2025</w:t>
      </w:r>
      <w:hyperlink r:id="rId30">
        <w:r>
          <w:rPr>
            <w:rStyle w:val="Hyperlink"/>
          </w:rPr>
          <w:t xml:space="preserve">[8]</w:t>
        </w:r>
      </w:hyperlink>
      <w:r>
        <w:t xml:space="preserve">. Our architecture plans for an</w:t>
      </w:r>
      <w:r>
        <w:t xml:space="preserve"> </w:t>
      </w:r>
      <w:r>
        <w:rPr>
          <w:b/>
          <w:bCs/>
        </w:rPr>
        <w:t xml:space="preserve">API integration module</w:t>
      </w:r>
      <w:r>
        <w:t xml:space="preserve"> </w:t>
      </w:r>
      <w:r>
        <w:t xml:space="preserve">(optional if the license is obtained) that periodically pulls changes or specific data from the IMPA API. This could be scheduled (e.g., a cron job calling the API for new items or changes) to keep our DB in sync without waiting for the next CSV. The API approach eliminates manual file handling</w:t>
      </w:r>
      <w:hyperlink r:id="rId23">
        <w:r>
          <w:rPr>
            <w:rStyle w:val="Hyperlink"/>
          </w:rPr>
          <w:t xml:space="preserve">[2]</w:t>
        </w:r>
      </w:hyperlink>
      <w:r>
        <w:t xml:space="preserve">, though it requires network connectivity and adherence to rate limits. We can gradually incorporate the API for incremental updates while using CSV for bulk bootstrap or semi-annual full refreshes.</w:t>
      </w:r>
    </w:p>
    <w:p>
      <w:pPr>
        <w:pStyle w:val="FirstParagraph"/>
      </w:pPr>
      <w:r>
        <w:t xml:space="preserve">In practice, we will likely</w:t>
      </w:r>
      <w:r>
        <w:t xml:space="preserve"> </w:t>
      </w:r>
      <w:r>
        <w:rPr>
          <w:b/>
          <w:bCs/>
        </w:rPr>
        <w:t xml:space="preserve">bootstrap via CSV import (Data Licence)</w:t>
      </w:r>
      <w:r>
        <w:t xml:space="preserve"> </w:t>
      </w:r>
      <w:r>
        <w:t xml:space="preserve">for the initial load (all 50k items)</w:t>
      </w:r>
      <w:hyperlink r:id="rId31">
        <w:r>
          <w:rPr>
            <w:rStyle w:val="Hyperlink"/>
          </w:rPr>
          <w:t xml:space="preserve">[9]</w:t>
        </w:r>
      </w:hyperlink>
      <w:r>
        <w:t xml:space="preserve">, and then use the API for smaller periodic syncs or to fetch details on-demand (e.g., if a user queries an item that might not be in our local DB yet). This dual approach balances reliability (CSV as source of truth) and freshness (API for immediate new data).</w:t>
      </w:r>
    </w:p>
    <w:p>
      <w:pPr>
        <w:pStyle w:val="BodyText"/>
      </w:pPr>
      <w:r>
        <w:rPr>
          <w:i/>
          <w:iCs/>
        </w:rPr>
        <w:t xml:space="preserve">Why standard codes?</w:t>
      </w:r>
      <w:r>
        <w:t xml:space="preserve"> </w:t>
      </w:r>
      <w:r>
        <w:t xml:space="preserve">Using the IMPA/ISSA codes as primary keys ensures our catalog speaks the industry’s common language. This avoids duplication and errors – e.g., two suppliers may call an item by different names, but the IMPA code will be the same. By structuring our schema around these codes, we</w:t>
      </w:r>
      <w:r>
        <w:t xml:space="preserve"> </w:t>
      </w:r>
      <w:r>
        <w:rPr>
          <w:b/>
          <w:bCs/>
        </w:rPr>
        <w:t xml:space="preserve">enable interoperability</w:t>
      </w:r>
      <w:r>
        <w:t xml:space="preserve"> </w:t>
      </w:r>
      <w:r>
        <w:t xml:space="preserve">with other systems (fleet management ERP, other chandler systems) and simplify procurement communication</w:t>
      </w:r>
      <w:hyperlink r:id="rId22">
        <w:r>
          <w:rPr>
            <w:rStyle w:val="Hyperlink"/>
          </w:rPr>
          <w:t xml:space="preserve">[1]</w:t>
        </w:r>
      </w:hyperlink>
      <w:r>
        <w:t xml:space="preserve">. These codes have been stable for decades and are widely adopted, so our platform can seamlessly integrate into existing procurement workflows</w:t>
      </w:r>
      <w:hyperlink r:id="rId22">
        <w:r>
          <w:rPr>
            <w:rStyle w:val="Hyperlink"/>
          </w:rPr>
          <w:t xml:space="preserve">[1]</w:t>
        </w:r>
      </w:hyperlink>
      <w:r>
        <w:t xml:space="preserve">. We also include a</w:t>
      </w:r>
      <w:r>
        <w:t xml:space="preserve"> </w:t>
      </w:r>
      <w:r>
        <w:rPr>
          <w:b/>
          <w:bCs/>
        </w:rPr>
        <w:t xml:space="preserve">lookup utility</w:t>
      </w:r>
      <w:r>
        <w:t xml:space="preserve"> </w:t>
      </w:r>
      <w:r>
        <w:t xml:space="preserve">for development/validation using the public ShipServ IMPA catalogue</w:t>
      </w:r>
      <w:hyperlink r:id="rId32">
        <w:r>
          <w:rPr>
            <w:rStyle w:val="Hyperlink"/>
          </w:rPr>
          <w:t xml:space="preserve">[10]</w:t>
        </w:r>
      </w:hyperlink>
      <w:r>
        <w:t xml:space="preserve"> </w:t>
      </w:r>
      <w:r>
        <w:t xml:space="preserve">– during development, engineers can verify code descriptions via this free lookup service to ensure data consistency.</w:t>
      </w:r>
    </w:p>
    <w:bookmarkEnd w:id="33"/>
    <w:bookmarkStart w:id="39" w:name="catalog-granularity-and-organization"/>
    <w:p>
      <w:pPr>
        <w:pStyle w:val="Heading2"/>
      </w:pPr>
      <w:r>
        <w:t xml:space="preserve">Catalog Granularity and Organization</w:t>
      </w:r>
    </w:p>
    <w:p>
      <w:pPr>
        <w:pStyle w:val="FirstParagraph"/>
      </w:pPr>
      <w:r>
        <w:t xml:space="preserve">Each IMPA code in the MSG represents a specific product (often a defined size/variant of an item). Our</w:t>
      </w:r>
      <w:r>
        <w:t xml:space="preserve"> </w:t>
      </w:r>
      <w:r>
        <w:rPr>
          <w:b/>
          <w:bCs/>
        </w:rPr>
        <w:t xml:space="preserve">granularity decision</w:t>
      </w:r>
      <w:r>
        <w:t xml:space="preserve"> </w:t>
      </w:r>
      <w:r>
        <w:t xml:space="preserve">is that</w:t>
      </w:r>
      <w:r>
        <w:t xml:space="preserve"> </w:t>
      </w:r>
      <w:r>
        <w:rPr>
          <w:i/>
          <w:iCs/>
        </w:rPr>
        <w:t xml:space="preserve">one IMPA code equals one product record</w:t>
      </w:r>
      <w:r>
        <w:t xml:space="preserve"> </w:t>
      </w:r>
      <w:r>
        <w:t xml:space="preserve">in the catalog. This ensures one-to-one alignment with the standard – important since procurement often references items by these exact codes. We avoid grouping multiple codes into one abstract product, as that would break the standard reference mapping. For example, if packing materials have codes 810221 through 810235 all referring to slight variations (as seen in vendor mappings</w:t>
      </w:r>
      <w:hyperlink r:id="rId34">
        <w:r>
          <w:rPr>
            <w:rStyle w:val="Hyperlink"/>
          </w:rPr>
          <w:t xml:space="preserve">[11]</w:t>
        </w:r>
      </w:hyperlink>
      <w:hyperlink r:id="rId35">
        <w:r>
          <w:rPr>
            <w:rStyle w:val="Hyperlink"/>
          </w:rPr>
          <w:t xml:space="preserve">[12]</w:t>
        </w:r>
      </w:hyperlink>
      <w:r>
        <w:t xml:space="preserve">), we will store each code separately to preserve detail. We will, however, use the</w:t>
      </w:r>
      <w:r>
        <w:t xml:space="preserve"> </w:t>
      </w:r>
      <w:r>
        <w:rPr>
          <w:b/>
          <w:bCs/>
        </w:rPr>
        <w:t xml:space="preserve">“equivalents” field or a separate mapping table</w:t>
      </w:r>
      <w:r>
        <w:t xml:space="preserve"> </w:t>
      </w:r>
      <w:r>
        <w:t xml:space="preserve">to denote if certain codes are interchangeable or part of a series. This way, the granularity is fine (per code) but relationships are captured (e.g. “code X is the 5mm size, code Y is 6mm size of the same product family”). This decision favors precision and aligns with how the MSG is used operationally.</w:t>
      </w:r>
    </w:p>
    <w:p>
      <w:pPr>
        <w:pStyle w:val="BodyText"/>
      </w:pPr>
      <w:r>
        <w:rPr>
          <w:b/>
          <w:bCs/>
        </w:rPr>
        <w:t xml:space="preserve">Category hierarchy:</w:t>
      </w:r>
      <w:r>
        <w:t xml:space="preserve"> </w:t>
      </w:r>
      <w:r>
        <w:t xml:space="preserve">As noted, the first 2–3 digits of the IMPA code indicate the category (e.g.,</w:t>
      </w:r>
      <w:r>
        <w:t xml:space="preserve"> </w:t>
      </w:r>
      <w:r>
        <w:rPr>
          <w:rStyle w:val="VerbatimChar"/>
        </w:rPr>
        <w:t xml:space="preserve">59</w:t>
      </w:r>
      <w:r>
        <w:t xml:space="preserve">.</w:t>
      </w:r>
      <w:r>
        <w:t xml:space="preserve"> </w:t>
      </w:r>
      <w:r>
        <w:rPr>
          <w:i/>
          <w:iCs/>
        </w:rPr>
        <w:t xml:space="preserve">= Tools,</w:t>
      </w:r>
      <w:r>
        <w:rPr>
          <w:i/>
          <w:iCs/>
        </w:rPr>
        <w:t xml:space="preserve"> </w:t>
      </w:r>
      <w:r>
        <w:rPr>
          <w:rStyle w:val="VerbatimChar"/>
          <w:i/>
          <w:iCs/>
        </w:rPr>
        <w:t xml:space="preserve">81</w:t>
      </w:r>
      <w:r>
        <w:rPr>
          <w:i/>
          <w:iCs/>
        </w:rPr>
        <w:t xml:space="preserve">.</w:t>
      </w:r>
      <w:r>
        <w:t xml:space="preserve"> </w:t>
      </w:r>
      <w:r>
        <w:t xml:space="preserve">= Packing &amp; Jointing)</w:t>
      </w:r>
      <w:hyperlink r:id="rId36">
        <w:r>
          <w:rPr>
            <w:rStyle w:val="Hyperlink"/>
          </w:rPr>
          <w:t xml:space="preserve">[13]</w:t>
        </w:r>
      </w:hyperlink>
      <w:hyperlink r:id="rId37">
        <w:r>
          <w:rPr>
            <w:rStyle w:val="Hyperlink"/>
          </w:rPr>
          <w:t xml:space="preserve">[14]</w:t>
        </w:r>
      </w:hyperlink>
      <w:r>
        <w:t xml:space="preserve">. We maintain a reference list of categories and subcategories drawn from the MSG (Deck, Engine, Safety, Consumables, Tools, etc., each with numeric codes</w:t>
      </w:r>
      <w:hyperlink r:id="rId38">
        <w:r>
          <w:rPr>
            <w:rStyle w:val="Hyperlink"/>
          </w:rPr>
          <w:t xml:space="preserve">[15]</w:t>
        </w:r>
      </w:hyperlink>
      <w:hyperlink r:id="rId25">
        <w:r>
          <w:rPr>
            <w:rStyle w:val="Hyperlink"/>
          </w:rPr>
          <w:t xml:space="preserve">[4]</w:t>
        </w:r>
      </w:hyperlink>
      <w:r>
        <w:t xml:space="preserve">). In the database, each product has a foreign key to the category table (which might itself be hierarchical if subcategories exist). This facilitates</w:t>
      </w:r>
      <w:r>
        <w:t xml:space="preserve"> </w:t>
      </w:r>
      <w:r>
        <w:rPr>
          <w:b/>
          <w:bCs/>
        </w:rPr>
        <w:t xml:space="preserve">faceted search</w:t>
      </w:r>
      <w:r>
        <w:t xml:space="preserve"> </w:t>
      </w:r>
      <w:r>
        <w:t xml:space="preserve">(filtering by category) and allows UI features like browsing by category tree. For example, a user can drill down to</w:t>
      </w:r>
      <w:r>
        <w:t xml:space="preserve"> </w:t>
      </w:r>
      <w:r>
        <w:rPr>
          <w:i/>
          <w:iCs/>
        </w:rPr>
        <w:t xml:space="preserve">Tools → Hand Tools (61xx)</w:t>
      </w:r>
      <w:r>
        <w:t xml:space="preserve"> </w:t>
      </w:r>
      <w:r>
        <w:t xml:space="preserve">to see all hand tools. Category data is loaded from the MSG definitions and updated if the standard evolves.</w:t>
      </w:r>
    </w:p>
    <w:p>
      <w:pPr>
        <w:pStyle w:val="BodyText"/>
      </w:pPr>
      <w:r>
        <w:rPr>
          <w:b/>
          <w:bCs/>
        </w:rPr>
        <w:t xml:space="preserve">Document storage for attachments:</w:t>
      </w:r>
      <w:r>
        <w:t xml:space="preserve"> </w:t>
      </w:r>
      <w:r>
        <w:t xml:space="preserve">As mentioned, large files (images, spec sheets) linked to products are stored in an external object store. This design choice (files in S3 and only references in Postgres) is captured in an ADR (see below) – it improves scalability and reduces database bloat. We also version attachments by filename or metadata, in case updated datasheets need to be stored. The attachments are accessible via secure URLs, and we could use a CDN for faster delivery to global users.</w:t>
      </w:r>
    </w:p>
    <w:p>
      <w:pPr>
        <w:pStyle w:val="BodyText"/>
      </w:pPr>
      <w:r>
        <w:rPr>
          <w:b/>
          <w:bCs/>
        </w:rPr>
        <w:t xml:space="preserve">Schema evolution strategy:</w:t>
      </w:r>
      <w:r>
        <w:t xml:space="preserve"> </w:t>
      </w:r>
      <w:r>
        <w:t xml:space="preserve">We anticipate that over time, new attributes might be needed (for example, if later integrating environmental compliance data or vendor-specific pricing). Our strategy is to use</w:t>
      </w:r>
      <w:r>
        <w:t xml:space="preserve"> </w:t>
      </w:r>
      <w:r>
        <w:rPr>
          <w:b/>
          <w:bCs/>
        </w:rPr>
        <w:t xml:space="preserve">flyway-style migrations</w:t>
      </w:r>
      <w:r>
        <w:t xml:space="preserve"> </w:t>
      </w:r>
      <w:r>
        <w:t xml:space="preserve">for controlled schema changes in Postgres when adding fundamental fields, and to leverage</w:t>
      </w:r>
      <w:r>
        <w:t xml:space="preserve"> </w:t>
      </w:r>
      <w:r>
        <w:rPr>
          <w:b/>
          <w:bCs/>
        </w:rPr>
        <w:t xml:space="preserve">JSONB columns for flexible attributes</w:t>
      </w:r>
      <w:r>
        <w:t xml:space="preserve"> </w:t>
      </w:r>
      <w:r>
        <w:t xml:space="preserve">that are not critical for relational queries. This hybrid approach ensures we don’t slow down development by requiring a migration for every minor attribute, yet keep important data in first-class columns for query performance. Additionally, by using NestJS’s validation and DTO patterns, any new fields can be added with backward compatibility in mind (non-breaking additions). A robust test suite around serialization/deserialization of product data will catch any issues during evolution.</w:t>
      </w:r>
    </w:p>
    <w:bookmarkEnd w:id="39"/>
    <w:bookmarkStart w:id="44" w:name="search-and-semantic-sku-matching"/>
    <w:p>
      <w:pPr>
        <w:pStyle w:val="Heading2"/>
      </w:pPr>
      <w:r>
        <w:t xml:space="preserve">Search and Semantic SKU Matching</w:t>
      </w:r>
    </w:p>
    <w:p>
      <w:pPr>
        <w:pStyle w:val="FirstParagraph"/>
      </w:pPr>
      <w:r>
        <w:t xml:space="preserve">End-users (and internal tools) need powerful search capabilities to find products by name, code, or description – including handling typos and synonyms. We implement a dual search strategy:</w:t>
      </w:r>
      <w:r>
        <w:t xml:space="preserve"> </w:t>
      </w:r>
      <w:r>
        <w:rPr>
          <w:b/>
          <w:bCs/>
        </w:rPr>
        <w:t xml:space="preserve">Meilisearch</w:t>
      </w:r>
      <w:r>
        <w:t xml:space="preserve"> </w:t>
      </w:r>
      <w:r>
        <w:t xml:space="preserve">for fast text queries with typo-tolerance, and</w:t>
      </w:r>
      <w:r>
        <w:t xml:space="preserve"> </w:t>
      </w:r>
      <w:r>
        <w:rPr>
          <w:b/>
          <w:bCs/>
        </w:rPr>
        <w:t xml:space="preserve">pgvector</w:t>
      </w:r>
      <w:r>
        <w:t xml:space="preserve"> </w:t>
      </w:r>
      <w:r>
        <w:t xml:space="preserve">for semantic similarity searches.</w:t>
      </w:r>
    </w:p>
    <w:p>
      <w:pPr>
        <w:pStyle w:val="BodyText"/>
      </w:pPr>
      <w:r>
        <w:rPr>
          <w:b/>
          <w:bCs/>
        </w:rPr>
        <w:t xml:space="preserve">Meilisearch for typo-tolerant search:</w:t>
      </w:r>
      <w:r>
        <w:t xml:space="preserve"> </w:t>
      </w:r>
      <w:r>
        <w:t xml:space="preserve">We deploy Meilisearch as a dedicated search engine service indexed on the product catalog. Meilisearch was chosen over heavier alternatives like Elasticsearch due to its speed, simplicity, and excellent default relevance tuning for typos</w:t>
      </w:r>
      <w:hyperlink r:id="rId40">
        <w:r>
          <w:rPr>
            <w:rStyle w:val="Hyperlink"/>
          </w:rPr>
          <w:t xml:space="preserve">[16]</w:t>
        </w:r>
      </w:hyperlink>
      <w:r>
        <w:t xml:space="preserve">. It delivers sub-50ms query responses with minimal configuration</w:t>
      </w:r>
      <w:hyperlink r:id="rId40">
        <w:r>
          <w:rPr>
            <w:rStyle w:val="Hyperlink"/>
          </w:rPr>
          <w:t xml:space="preserve">[16]</w:t>
        </w:r>
      </w:hyperlink>
      <w:r>
        <w:t xml:space="preserve">, which is ideal for delivering snappy autocomplete and search-as-you-type. We index key fields in Meilisearch: product name/description, IMPA code, ISSA code, manufacturer, and possibly synonyms/equivalents. The engine’s</w:t>
      </w:r>
      <w:r>
        <w:t xml:space="preserve"> </w:t>
      </w:r>
      <w:r>
        <w:rPr>
          <w:b/>
          <w:bCs/>
        </w:rPr>
        <w:t xml:space="preserve">built-in fuzzy matching</w:t>
      </w:r>
      <w:r>
        <w:t xml:space="preserve"> </w:t>
      </w:r>
      <w:r>
        <w:t xml:space="preserve">means that a query for “hand lampe” will still find “hand lamp” (typo tolerance), which is crucial given the variety of spellings and language backgrounds of users. We also leverage</w:t>
      </w:r>
      <w:r>
        <w:t xml:space="preserve"> </w:t>
      </w:r>
      <w:r>
        <w:rPr>
          <w:b/>
          <w:bCs/>
        </w:rPr>
        <w:t xml:space="preserve">faceted filtering</w:t>
      </w:r>
      <w:r>
        <w:t xml:space="preserve"> </w:t>
      </w:r>
      <w:r>
        <w:t xml:space="preserve">in Meili – for example, filtering by category or IHM compliance is straightforward with its filters</w:t>
      </w:r>
      <w:hyperlink r:id="rId40">
        <w:r>
          <w:rPr>
            <w:rStyle w:val="Hyperlink"/>
          </w:rPr>
          <w:t xml:space="preserve">[16]</w:t>
        </w:r>
      </w:hyperlink>
      <w:r>
        <w:t xml:space="preserve">. Tuning ranking rules is much simpler than in Elasticsearch, allowing us to adjust importance of exact code matches vs textual similarity easily. Meili’s 2024+ versions even introduce</w:t>
      </w:r>
      <w:r>
        <w:t xml:space="preserve"> </w:t>
      </w:r>
      <w:r>
        <w:rPr>
          <w:b/>
          <w:bCs/>
        </w:rPr>
        <w:t xml:space="preserve">hybrid search</w:t>
      </w:r>
      <w:r>
        <w:t xml:space="preserve"> </w:t>
      </w:r>
      <w:r>
        <w:t xml:space="preserve">that can incorporate vector similarity re-ranking</w:t>
      </w:r>
      <w:hyperlink r:id="rId41">
        <w:r>
          <w:rPr>
            <w:rStyle w:val="Hyperlink"/>
          </w:rPr>
          <w:t xml:space="preserve">[17]</w:t>
        </w:r>
      </w:hyperlink>
      <w:r>
        <w:t xml:space="preserve">, giving us a path to combine keyword and semantic search in the future.</w:t>
      </w:r>
    </w:p>
    <w:p>
      <w:pPr>
        <w:pStyle w:val="BodyText"/>
      </w:pPr>
      <w:r>
        <w:rPr>
          <w:b/>
          <w:bCs/>
        </w:rPr>
        <w:t xml:space="preserve">pgvector for semantic similarity:</w:t>
      </w:r>
      <w:r>
        <w:t xml:space="preserve"> </w:t>
      </w:r>
      <w:r>
        <w:t xml:space="preserve">Alongside Meili, we use the</w:t>
      </w:r>
      <w:r>
        <w:t xml:space="preserve"> </w:t>
      </w:r>
      <w:r>
        <w:rPr>
          <w:rStyle w:val="VerbatimChar"/>
        </w:rPr>
        <w:t xml:space="preserve">pgvector</w:t>
      </w:r>
      <w:r>
        <w:t xml:space="preserve"> </w:t>
      </w:r>
      <w:r>
        <w:t xml:space="preserve">extension in Postgres to store vector embeddings of products for semantic matching</w:t>
      </w:r>
      <w:hyperlink r:id="rId42">
        <w:r>
          <w:rPr>
            <w:rStyle w:val="Hyperlink"/>
          </w:rPr>
          <w:t xml:space="preserve">[18]</w:t>
        </w:r>
      </w:hyperlink>
      <w:r>
        <w:t xml:space="preserve">. For each product, we compute an embedding (using a pre-trained model like OpenAI’s text-embedding-ada-002 or a local SentenceTransformer) based on its description and other identifying text. These embeddings (e.g. 1536-dimension vectors) are stored in a column with a</w:t>
      </w:r>
      <w:r>
        <w:t xml:space="preserve"> </w:t>
      </w:r>
      <w:r>
        <w:rPr>
          <w:rStyle w:val="VerbatimChar"/>
        </w:rPr>
        <w:t xml:space="preserve">vector</w:t>
      </w:r>
      <w:r>
        <w:t xml:space="preserve"> </w:t>
      </w:r>
      <w:r>
        <w:t xml:space="preserve">type, indexed via HNSW or IVF for fast nearest-neighbor search</w:t>
      </w:r>
      <w:hyperlink r:id="rId42">
        <w:r>
          <w:rPr>
            <w:rStyle w:val="Hyperlink"/>
          </w:rPr>
          <w:t xml:space="preserve">[18]</w:t>
        </w:r>
      </w:hyperlink>
      <w:r>
        <w:t xml:space="preserve">. This enables</w:t>
      </w:r>
      <w:r>
        <w:t xml:space="preserve"> </w:t>
      </w:r>
      <w:r>
        <w:rPr>
          <w:b/>
          <w:bCs/>
        </w:rPr>
        <w:t xml:space="preserve">semantic SKU matching</w:t>
      </w:r>
      <w:r>
        <w:t xml:space="preserve"> </w:t>
      </w:r>
      <w:r>
        <w:t xml:space="preserve">– even if a search query does not exactly match the text, we can find items with similar meaning. For instance, a query “fire proof overall” would vector-match to “flame retardant coverall” even if the text doesn’t literally match. Pgvector allows us to do this within the database without a separate vector service, avoiding the complexity of syncing data to an external vector DB</w:t>
      </w:r>
      <w:hyperlink r:id="rId42">
        <w:r>
          <w:rPr>
            <w:rStyle w:val="Hyperlink"/>
          </w:rPr>
          <w:t xml:space="preserve">[18]</w:t>
        </w:r>
      </w:hyperlink>
      <w:r>
        <w:t xml:space="preserve">. According to benchmarks, pgvector with HNSW can handle millions of items with ~50ms search times on modest hardware</w:t>
      </w:r>
      <w:hyperlink r:id="rId42">
        <w:r>
          <w:rPr>
            <w:rStyle w:val="Hyperlink"/>
          </w:rPr>
          <w:t xml:space="preserve">[18]</w:t>
        </w:r>
      </w:hyperlink>
      <w:r>
        <w:t xml:space="preserve">, which is well within our scale (50k items). This decision to integrate vector search into Postgres keeps architecture simpler and avoids the network latency and sync issues of external vector databases</w:t>
      </w:r>
      <w:hyperlink r:id="rId43">
        <w:r>
          <w:rPr>
            <w:rStyle w:val="Hyperlink"/>
          </w:rPr>
          <w:t xml:space="preserve">[19]</w:t>
        </w:r>
      </w:hyperlink>
      <w:r>
        <w:t xml:space="preserve">. (As one case study noted, using a SaaS vector DB added network overhead and a two-step query for metadata, leading them to prefer pgvector for an integrated solution</w:t>
      </w:r>
      <w:hyperlink r:id="rId43">
        <w:r>
          <w:rPr>
            <w:rStyle w:val="Hyperlink"/>
          </w:rPr>
          <w:t xml:space="preserve">[19]</w:t>
        </w:r>
      </w:hyperlink>
      <w:r>
        <w:t xml:space="preserve">.)</w:t>
      </w:r>
    </w:p>
    <w:p>
      <w:pPr>
        <w:pStyle w:val="BodyText"/>
      </w:pPr>
      <w:r>
        <w:rPr>
          <w:b/>
          <w:bCs/>
        </w:rPr>
        <w:t xml:space="preserve">Combined search strategy:</w:t>
      </w:r>
      <w:r>
        <w:t xml:space="preserve"> </w:t>
      </w:r>
      <w:r>
        <w:t xml:space="preserve">When a user performs a catalog lookup via the API, the backend can utilize both engines: first querying Meilisearch for textual matches (with filters if specified), and optionally falling back to a semantic search if needed. For example, if a query returns few results in Meili, we could take the query embedding and find nearest products via pgvector, then merge those results. However, in most cases, Meili will handle the interactive search. The vector search is especially useful for</w:t>
      </w:r>
      <w:r>
        <w:t xml:space="preserve"> </w:t>
      </w:r>
      <w:r>
        <w:rPr>
          <w:b/>
          <w:bCs/>
        </w:rPr>
        <w:t xml:space="preserve">SKU suggestions and document parsing scenarios</w:t>
      </w:r>
      <w:r>
        <w:t xml:space="preserve"> </w:t>
      </w:r>
      <w:r>
        <w:t xml:space="preserve">(described in the next section), where the input might be a descriptive sentence or slightly off terminology.</w:t>
      </w:r>
    </w:p>
    <w:p>
      <w:pPr>
        <w:pStyle w:val="BodyText"/>
      </w:pPr>
      <w:r>
        <w:t xml:space="preserve">We maintain</w:t>
      </w:r>
      <w:r>
        <w:t xml:space="preserve"> </w:t>
      </w:r>
      <w:r>
        <w:rPr>
          <w:b/>
          <w:bCs/>
        </w:rPr>
        <w:t xml:space="preserve">index synchronization</w:t>
      </w:r>
      <w:r>
        <w:t xml:space="preserve"> </w:t>
      </w:r>
      <w:r>
        <w:t xml:space="preserve">between Postgres and Meilisearch: whenever the product catalog is updated (via import or admin edit), a background task updates the Meili index (either in real-time via Meili API calls or batched updates for large imports). Similarly, if product descriptions change materially, we re-generate embeddings and update the pgvector column. This can be done in an async job to avoid slowing down the user operation that triggered the change.</w:t>
      </w:r>
    </w:p>
    <w:p>
      <w:pPr>
        <w:pStyle w:val="BodyText"/>
      </w:pPr>
      <w:r>
        <w:rPr>
          <w:b/>
          <w:bCs/>
        </w:rPr>
        <w:t xml:space="preserve">Faceted and filtered search:</w:t>
      </w:r>
      <w:r>
        <w:t xml:space="preserve"> </w:t>
      </w:r>
      <w:r>
        <w:t xml:space="preserve">Users often need to filter results (e.g., show me all “paint” in category 25 Marine Paint). With our setup, filtered search can be handled in two ways. For known facets like category or IHM flag, we can apply filters directly in Meilisearch query (since we index those fields). Meili will return only items matching the filter, sorted by text relevance</w:t>
      </w:r>
      <w:hyperlink r:id="rId40">
        <w:r>
          <w:rPr>
            <w:rStyle w:val="Hyperlink"/>
          </w:rPr>
          <w:t xml:space="preserve">[16]</w:t>
        </w:r>
      </w:hyperlink>
      <w:r>
        <w:t xml:space="preserve">. Alternatively, for certain queries we may query Postgres (which can filter by any field easily) and then apply text ranking via either Postgres full-text search or embedding similarity. In general, we rely on Meili’s built-in faceted filtering for simplicity. The user interface will allow narrowing by category, and the API simply passes those filters to Meili.</w:t>
      </w:r>
    </w:p>
    <w:p>
      <w:pPr>
        <w:pStyle w:val="BodyText"/>
      </w:pPr>
      <w:r>
        <w:rPr>
          <w:b/>
          <w:bCs/>
        </w:rPr>
        <w:t xml:space="preserve">Exact code lookup optimization:</w:t>
      </w:r>
      <w:r>
        <w:t xml:space="preserve"> </w:t>
      </w:r>
      <w:r>
        <w:t xml:space="preserve">If the user input matches the pattern of an IMPA or ISSA code (e.g. six digits or two-digit-dot format), the backend can detect that and directly fetch that item by primary key from Postgres (which is extremely fast for exact match). This ensures that searching by code is instantaneous and bypasses the need for full-text search. We will incorporate this logic in the catalog query API – effectively,</w:t>
      </w:r>
      <w:r>
        <w:t xml:space="preserve"> </w:t>
      </w:r>
      <w:r>
        <w:rPr>
          <w:rStyle w:val="VerbatimChar"/>
        </w:rPr>
        <w:t xml:space="preserve">if query =~ /^\d{6}$/ then return that exact item if it exists</w:t>
      </w:r>
      <w:r>
        <w:t xml:space="preserve">. This covers the use case of purchasers who know the codes and just want to pull the item detail.</w:t>
      </w:r>
    </w:p>
    <w:bookmarkEnd w:id="44"/>
    <w:bookmarkStart w:id="54" w:name="X1e2568205605c0c3d4719bfc2e04a1850e6040d"/>
    <w:p>
      <w:pPr>
        <w:pStyle w:val="Heading2"/>
      </w:pPr>
      <w:r>
        <w:t xml:space="preserve">Document AI Pipeline for Automated Requisition Processing</w:t>
      </w:r>
    </w:p>
    <w:p>
      <w:pPr>
        <w:pStyle w:val="FirstParagraph"/>
      </w:pPr>
      <w:r>
        <w:t xml:space="preserve">One standout feature of the platform is an AI-powered pipeline to process requisition documents (often Excel sheets or PDF forms listing needed supplies) and automatically match them to catalog items. This addresses the current pain point of chandlers manually transcribing 150+ line items from various document formats. Our</w:t>
      </w:r>
      <w:r>
        <w:t xml:space="preserve"> </w:t>
      </w:r>
      <w:r>
        <w:rPr>
          <w:b/>
          <w:bCs/>
        </w:rPr>
        <w:t xml:space="preserve">Document AI pipeline</w:t>
      </w:r>
      <w:r>
        <w:t xml:space="preserve"> </w:t>
      </w:r>
      <w:r>
        <w:t xml:space="preserve">leverages both cloud-based document parsing and LLM-based normalization to achieve high accuracy, drastically reducing manual work.</w:t>
      </w:r>
    </w:p>
    <w:p>
      <w:pPr>
        <w:pStyle w:val="BodyText"/>
      </w:pPr>
      <w:r>
        <w:rPr>
          <w:b/>
          <w:bCs/>
        </w:rPr>
        <w:t xml:space="preserve">1. Upload &amp; Storage:</w:t>
      </w:r>
      <w:r>
        <w:t xml:space="preserve"> </w:t>
      </w:r>
      <w:r>
        <w:t xml:space="preserve">A user (or email ingestion service) uploads the requisition file (supported formats: PDF, Excel .xlsx, Word .docx, etc.) via a secure API endpoint. The file is immediately stored in an</w:t>
      </w:r>
      <w:r>
        <w:t xml:space="preserve"> </w:t>
      </w:r>
      <w:r>
        <w:rPr>
          <w:b/>
          <w:bCs/>
        </w:rPr>
        <w:t xml:space="preserve">S3 bucket</w:t>
      </w:r>
      <w:r>
        <w:t xml:space="preserve"> </w:t>
      </w:r>
      <w:r>
        <w:t xml:space="preserve">(or equivalent) and a reference is saved (we don’t keep the file in memory to process synchronously, to improve reliability). Storing first allows re-processing if needed and decouples upload from heavy processing.</w:t>
      </w:r>
    </w:p>
    <w:p>
      <w:pPr>
        <w:pStyle w:val="BodyText"/>
      </w:pPr>
      <w:r>
        <w:rPr>
          <w:b/>
          <w:bCs/>
        </w:rPr>
        <w:t xml:space="preserve">2. Job Queuing:</w:t>
      </w:r>
      <w:r>
        <w:t xml:space="preserve"> </w:t>
      </w:r>
      <w:r>
        <w:t xml:space="preserve">When the file is stored, we create a job message in a</w:t>
      </w:r>
      <w:r>
        <w:t xml:space="preserve"> </w:t>
      </w:r>
      <w:r>
        <w:rPr>
          <w:b/>
          <w:bCs/>
        </w:rPr>
        <w:t xml:space="preserve">BullMQ queue</w:t>
      </w:r>
      <w:r>
        <w:t xml:space="preserve"> </w:t>
      </w:r>
      <w:r>
        <w:t xml:space="preserve">(with Redis as the broker) to process this requisition. The job payload contains metadata like the file location, upload ID, etc. We return a 202-Accepted to the client, indicating processing will happen asynchronously.</w:t>
      </w:r>
    </w:p>
    <w:p>
      <w:pPr>
        <w:pStyle w:val="BodyText"/>
      </w:pPr>
      <w:r>
        <w:rPr>
          <w:b/>
          <w:bCs/>
        </w:rPr>
        <w:t xml:space="preserve">3. Document Parsing (OCR/Structure Extraction):</w:t>
      </w:r>
      <w:r>
        <w:t xml:space="preserve"> </w:t>
      </w:r>
      <w:r>
        <w:t xml:space="preserve">A</w:t>
      </w:r>
      <w:r>
        <w:t xml:space="preserve"> </w:t>
      </w:r>
      <w:r>
        <w:rPr>
          <w:b/>
          <w:bCs/>
        </w:rPr>
        <w:t xml:space="preserve">worker process</w:t>
      </w:r>
      <w:r>
        <w:t xml:space="preserve"> </w:t>
      </w:r>
      <w:r>
        <w:t xml:space="preserve">(one of a pool of Node.js workers subscribed to the queue) picks up the job. The worker uses</w:t>
      </w:r>
      <w:r>
        <w:t xml:space="preserve"> </w:t>
      </w:r>
      <w:r>
        <w:rPr>
          <w:b/>
          <w:bCs/>
        </w:rPr>
        <w:t xml:space="preserve">Azure Document Intelligence v4.0</w:t>
      </w:r>
      <w:r>
        <w:t xml:space="preserve"> </w:t>
      </w:r>
      <w:r>
        <w:t xml:space="preserve">to parse the file’s content. Azure’s service can natively handle PDF, DOCX, XLSX, etc., and it outputs structured data in a developer-friendly format (in fact, it can output tables in Markdown or JSON)</w:t>
      </w:r>
      <w:hyperlink r:id="rId45">
        <w:r>
          <w:rPr>
            <w:rStyle w:val="Hyperlink"/>
          </w:rPr>
          <w:t xml:space="preserve">[20]</w:t>
        </w:r>
      </w:hyperlink>
      <w:r>
        <w:t xml:space="preserve">. This step uses AI-powered OCR and layout understanding to extract tables of line items even from complex, multi-page documents. The result is that we get each line item’s text (e.g. columns like</w:t>
      </w:r>
      <w:r>
        <w:t xml:space="preserve"> </w:t>
      </w:r>
      <w:r>
        <w:rPr>
          <w:i/>
          <w:iCs/>
        </w:rPr>
        <w:t xml:space="preserve">Item description</w:t>
      </w:r>
      <w:r>
        <w:t xml:space="preserve">,</w:t>
      </w:r>
      <w:r>
        <w:t xml:space="preserve"> </w:t>
      </w:r>
      <w:r>
        <w:rPr>
          <w:i/>
          <w:iCs/>
        </w:rPr>
        <w:t xml:space="preserve">Qty</w:t>
      </w:r>
      <w:r>
        <w:t xml:space="preserve">,</w:t>
      </w:r>
      <w:r>
        <w:t xml:space="preserve"> </w:t>
      </w:r>
      <w:r>
        <w:rPr>
          <w:i/>
          <w:iCs/>
        </w:rPr>
        <w:t xml:space="preserve">Unit</w:t>
      </w:r>
      <w:r>
        <w:t xml:space="preserve">, maybe</w:t>
      </w:r>
      <w:r>
        <w:t xml:space="preserve"> </w:t>
      </w:r>
      <w:r>
        <w:rPr>
          <w:i/>
          <w:iCs/>
        </w:rPr>
        <w:t xml:space="preserve">Remarks</w:t>
      </w:r>
      <w:r>
        <w:t xml:space="preserve"> </w:t>
      </w:r>
      <w:r>
        <w:t xml:space="preserve">if present) in a structured form. Azure’s service is preferred here for its high accuracy and ability to handle merged cells or skewed scans that often defeat simple OCR libraries</w:t>
      </w:r>
      <w:hyperlink r:id="rId45">
        <w:r>
          <w:rPr>
            <w:rStyle w:val="Hyperlink"/>
          </w:rPr>
          <w:t xml:space="preserve">[20]</w:t>
        </w:r>
      </w:hyperlink>
      <w:hyperlink r:id="rId46">
        <w:r>
          <w:rPr>
            <w:rStyle w:val="Hyperlink"/>
          </w:rPr>
          <w:t xml:space="preserve">[21]</w:t>
        </w:r>
      </w:hyperlink>
      <w:r>
        <w:t xml:space="preserve">. The cost is minimal – on the order of $1.50 per 1,000 pages for basic extraction</w:t>
      </w:r>
      <w:hyperlink r:id="rId47">
        <w:r>
          <w:rPr>
            <w:rStyle w:val="Hyperlink"/>
          </w:rPr>
          <w:t xml:space="preserve">[22]</w:t>
        </w:r>
      </w:hyperlink>
      <w:r>
        <w:t xml:space="preserve"> </w:t>
      </w:r>
      <w:r>
        <w:t xml:space="preserve">– which is negligible given the labor saved.</w:t>
      </w:r>
    </w:p>
    <w:p>
      <w:pPr>
        <w:pStyle w:val="BodyText"/>
      </w:pPr>
      <w:r>
        <w:rPr>
          <w:b/>
          <w:bCs/>
        </w:rPr>
        <w:t xml:space="preserve">4. LLM-based Data Normalization:</w:t>
      </w:r>
      <w:r>
        <w:t xml:space="preserve"> </w:t>
      </w:r>
      <w:r>
        <w:t xml:space="preserve">The raw extracted text often still needs cleaning or interpreting. For example, an item description might be shorthand or all caps, etc., and quantity/unit might be in different formats. We feed the extracted line items into a</w:t>
      </w:r>
      <w:r>
        <w:t xml:space="preserve"> </w:t>
      </w:r>
      <w:r>
        <w:rPr>
          <w:b/>
          <w:bCs/>
        </w:rPr>
        <w:t xml:space="preserve">Large Language Model (LLM)</w:t>
      </w:r>
      <w:r>
        <w:t xml:space="preserve"> </w:t>
      </w:r>
      <w:r>
        <w:t xml:space="preserve">(such as GPT-4 or Claude) to normalize and structure them. Using prompt engineering or fine-tuned models, we ask the LLM to output each line as JSON with fields: { description_normalized, quantity, unit, … }. For instance, “20 pcs hand lampe (brass)” might be normalized to description “Hand lamp, brass”, quantity 20, unit “PCS”. The LLM can also expand acronyms or correct minor spelling differences. Notably, GPT-4 and Anthropic Claude 3.5 have demonstrated ~97-98% accuracy on similar invoice/item extraction tasks</w:t>
      </w:r>
      <w:hyperlink r:id="rId48">
        <w:r>
          <w:rPr>
            <w:rStyle w:val="Hyperlink"/>
          </w:rPr>
          <w:t xml:space="preserve">[23]</w:t>
        </w:r>
      </w:hyperlink>
      <w:r>
        <w:t xml:space="preserve">. We utilize few-shot prompts (with examples of how to format the output) to achieve reliable results. This step transforms messy text into clean data that matches our catalog terminology as closely as possible.</w:t>
      </w:r>
    </w:p>
    <w:p>
      <w:pPr>
        <w:pStyle w:val="BodyText"/>
      </w:pPr>
      <w:r>
        <w:rPr>
          <w:b/>
          <w:bCs/>
        </w:rPr>
        <w:t xml:space="preserve">5. SKU Matching (Semantic Lookup):</w:t>
      </w:r>
      <w:r>
        <w:t xml:space="preserve"> </w:t>
      </w:r>
      <w:r>
        <w:t xml:space="preserve">For each normalized line item, the system attempts to find the best matching product in our catalog. This is where</w:t>
      </w:r>
      <w:r>
        <w:t xml:space="preserve"> </w:t>
      </w:r>
      <w:r>
        <w:rPr>
          <w:b/>
          <w:bCs/>
        </w:rPr>
        <w:t xml:space="preserve">vector similarity search</w:t>
      </w:r>
      <w:r>
        <w:t xml:space="preserve"> </w:t>
      </w:r>
      <w:r>
        <w:t xml:space="preserve">comes in. We take the normalized description (and potentially other context like unit or part number) and generate an embedding (using the same method as was used for catalog items). Then we query the</w:t>
      </w:r>
      <w:r>
        <w:t xml:space="preserve"> </w:t>
      </w:r>
      <w:r>
        <w:rPr>
          <w:b/>
          <w:bCs/>
        </w:rPr>
        <w:t xml:space="preserve">pgvector</w:t>
      </w:r>
      <w:r>
        <w:t xml:space="preserve"> </w:t>
      </w:r>
      <w:r>
        <w:t xml:space="preserve">index in Postgres for the nearest neighbor products</w:t>
      </w:r>
      <w:hyperlink r:id="rId49">
        <w:r>
          <w:rPr>
            <w:rStyle w:val="Hyperlink"/>
          </w:rPr>
          <w:t xml:space="preserve">[24]</w:t>
        </w:r>
      </w:hyperlink>
      <w:r>
        <w:t xml:space="preserve">. This yields a list of candidate catalog items that semantically resemble the requisition line. For example, if the line is “Hand lamp, brass”, the nearest neighbors might include “Hand lamp brass 24V” or “Hand lantern, brass” etc., along with similarity scores. Additionally, if the text contained an explicit IMPA or ISSA code, we would directly lookup that code in the catalog for an exact match (skipping vector search). The vector search covers cases where only description is given. After obtaining top N candidates (say 3-5 items) via vector similarity, we can optionally invoke an LLM once more to</w:t>
      </w:r>
      <w:r>
        <w:t xml:space="preserve"> </w:t>
      </w:r>
      <w:r>
        <w:rPr>
          <w:b/>
          <w:bCs/>
        </w:rPr>
        <w:t xml:space="preserve">re-rank or validate</w:t>
      </w:r>
      <w:r>
        <w:t xml:space="preserve"> </w:t>
      </w:r>
      <w:r>
        <w:t xml:space="preserve">the best match. For instance, we might prompt the LLM with the original line context and the descriptions of the top 3 matches: “The requisition line is X, does it refer to Product A, B, or C?” The LLM’s answer can help assign a confidence score or choose the closest match. This reranking with an LLM can boost accuracy by capturing subtle context that pure embeddings might miss</w:t>
      </w:r>
      <w:hyperlink r:id="rId49">
        <w:r>
          <w:rPr>
            <w:rStyle w:val="Hyperlink"/>
          </w:rPr>
          <w:t xml:space="preserve">[24]</w:t>
        </w:r>
      </w:hyperlink>
      <w:r>
        <w:t xml:space="preserve">.</w:t>
      </w:r>
    </w:p>
    <w:p>
      <w:pPr>
        <w:pStyle w:val="BodyText"/>
      </w:pPr>
      <w:r>
        <w:rPr>
          <w:b/>
          <w:bCs/>
        </w:rPr>
        <w:t xml:space="preserve">6. Confidence-based Decision:</w:t>
      </w:r>
      <w:r>
        <w:t xml:space="preserve"> </w:t>
      </w:r>
      <w:r>
        <w:t xml:space="preserve">Each line item now has either a matched SKU (with a similarity/confidence score) or possibly remains unmatched. We implement a</w:t>
      </w:r>
      <w:r>
        <w:t xml:space="preserve"> </w:t>
      </w:r>
      <w:r>
        <w:rPr>
          <w:b/>
          <w:bCs/>
        </w:rPr>
        <w:t xml:space="preserve">confidence thresholding</w:t>
      </w:r>
      <w:r>
        <w:t xml:space="preserve"> </w:t>
      </w:r>
      <w:r>
        <w:t xml:space="preserve">mechanism</w:t>
      </w:r>
      <w:hyperlink r:id="rId50">
        <w:r>
          <w:rPr>
            <w:rStyle w:val="Hyperlink"/>
          </w:rPr>
          <w:t xml:space="preserve">[25]</w:t>
        </w:r>
      </w:hyperlink>
      <w:r>
        <w:t xml:space="preserve">: if the top match score is very high (e.g. corresponds to &gt;95% confidence), the system will auto-confirm that match. If it’s moderate (say 80-95%), we flag it for human review – e.g. a procurement officer can quickly verify those suggestions in an interface. If confidence is below 80%, we treat it as not matched and require manual input (or escalate it to a data team to enrich the catalog or handle separately). This gating ensures that only very likely matches go through automatically, preserving accuracy. Over time, as the models improve, we can adjust these thresholds. We also log all outcomes to continuously improve (e.g. if a human corrects a match, we could feed that back as training data or at least as a future synonym).</w:t>
      </w:r>
    </w:p>
    <w:p>
      <w:pPr>
        <w:pStyle w:val="BodyText"/>
      </w:pPr>
      <w:r>
        <w:rPr>
          <w:b/>
          <w:bCs/>
        </w:rPr>
        <w:t xml:space="preserve">7. Output and User Interface:</w:t>
      </w:r>
      <w:r>
        <w:t xml:space="preserve"> </w:t>
      </w:r>
      <w:r>
        <w:t xml:space="preserve">The final output of the pipeline is a structured requisition: essentially a list of line items with matched catalog item codes (or flags for those needing attention). This structured data is stored in our database (e.g., a</w:t>
      </w:r>
      <w:r>
        <w:t xml:space="preserve"> </w:t>
      </w:r>
      <w:r>
        <w:rPr>
          <w:rStyle w:val="VerbatimChar"/>
        </w:rPr>
        <w:t xml:space="preserve">requisition</w:t>
      </w:r>
      <w:r>
        <w:t xml:space="preserve"> </w:t>
      </w:r>
      <w:r>
        <w:t xml:space="preserve">table with child</w:t>
      </w:r>
      <w:r>
        <w:t xml:space="preserve"> </w:t>
      </w:r>
      <w:r>
        <w:rPr>
          <w:rStyle w:val="VerbatimChar"/>
        </w:rPr>
        <w:t xml:space="preserve">requisition_items</w:t>
      </w:r>
      <w:r>
        <w:t xml:space="preserve">). The user (chandler procurement staff) can view the results in a UI: items with a green highlight (auto-matched with high confidence), yellow highlight (suggested match pending confirm), or red (unmatched, needs manual selection). The UI can allow them to adjust any mismatches (e.g. pick a different suggestion via a dropdown powered by the search API) and then approve the requisition for quotation or ordering.</w:t>
      </w:r>
    </w:p>
    <w:p>
      <w:pPr>
        <w:pStyle w:val="BodyText"/>
      </w:pPr>
      <w:r>
        <w:t xml:space="preserve">This pipeline leverages</w:t>
      </w:r>
      <w:r>
        <w:t xml:space="preserve"> </w:t>
      </w:r>
      <w:r>
        <w:rPr>
          <w:b/>
          <w:bCs/>
        </w:rPr>
        <w:t xml:space="preserve">state-of-the-art Document AI</w:t>
      </w:r>
      <w:r>
        <w:t xml:space="preserve"> </w:t>
      </w:r>
      <w:r>
        <w:t xml:space="preserve">capabilities available as of 2025. Azure’s multi-format parser and advanced LLMs make it feasible to automate what used to be entirely manual transcription</w:t>
      </w:r>
      <w:hyperlink r:id="rId51">
        <w:r>
          <w:rPr>
            <w:rStyle w:val="Hyperlink"/>
          </w:rPr>
          <w:t xml:space="preserve">[26]</w:t>
        </w:r>
      </w:hyperlink>
      <w:r>
        <w:t xml:space="preserve">. A critical implementation detail is processing large tables: some requisitions can exceed 150 lines, which could challenge an LLM’s context window if naively processed in one go. We mitigate this by processing</w:t>
      </w:r>
      <w:r>
        <w:t xml:space="preserve"> </w:t>
      </w:r>
      <w:r>
        <w:rPr>
          <w:b/>
          <w:bCs/>
        </w:rPr>
        <w:t xml:space="preserve">each line (or small batches of lines) independently</w:t>
      </w:r>
      <w:r>
        <w:t xml:space="preserve"> </w:t>
      </w:r>
      <w:r>
        <w:t xml:space="preserve">when using the LLM, a strategy recommended by projects like LlamaIndex to avoid missing data due to context limits</w:t>
      </w:r>
      <w:hyperlink r:id="rId52">
        <w:r>
          <w:rPr>
            <w:rStyle w:val="Hyperlink"/>
          </w:rPr>
          <w:t xml:space="preserve">[27]</w:t>
        </w:r>
      </w:hyperlink>
      <w:r>
        <w:t xml:space="preserve">. In other words, we don’t prompt the LLM with the entire table at once, but rather have it normalize line by line (possibly using parallel API calls for speed). This ensures no line item is skipped due to model limits</w:t>
      </w:r>
      <w:hyperlink r:id="rId52">
        <w:r>
          <w:rPr>
            <w:rStyle w:val="Hyperlink"/>
          </w:rPr>
          <w:t xml:space="preserve">[27]</w:t>
        </w:r>
      </w:hyperlink>
      <w:r>
        <w:t xml:space="preserve">.</w:t>
      </w:r>
    </w:p>
    <w:p>
      <w:pPr>
        <w:pStyle w:val="BodyText"/>
      </w:pPr>
      <w:r>
        <w:t xml:space="preserve">The entire pipeline is</w:t>
      </w:r>
      <w:r>
        <w:t xml:space="preserve"> </w:t>
      </w:r>
      <w:r>
        <w:rPr>
          <w:b/>
          <w:bCs/>
        </w:rPr>
        <w:t xml:space="preserve">queue-driven and modular</w:t>
      </w:r>
      <w:r>
        <w:t xml:space="preserve">, which improves reliability. If Azure or the LLM call fails for a document, the job can be retried or a fallback could be used. We also take advantage of</w:t>
      </w:r>
      <w:r>
        <w:t xml:space="preserve"> </w:t>
      </w:r>
      <w:r>
        <w:rPr>
          <w:b/>
          <w:bCs/>
        </w:rPr>
        <w:t xml:space="preserve">confidence-gated human-in-the-loop</w:t>
      </w:r>
      <w:r>
        <w:t xml:space="preserve"> </w:t>
      </w:r>
      <w:r>
        <w:t xml:space="preserve">design</w:t>
      </w:r>
      <w:hyperlink r:id="rId50">
        <w:r>
          <w:rPr>
            <w:rStyle w:val="Hyperlink"/>
          </w:rPr>
          <w:t xml:space="preserve">[25]</w:t>
        </w:r>
      </w:hyperlink>
      <w:r>
        <w:t xml:space="preserve">, which is a best practice for AI automation – humans only intervene on the uncertain edge cases, reducing workload by 60-90% while keeping overall accuracy high. Importantly, the estimated running cost of this pipeline is very low relative to manual labor – on the order of ~$100 per 5,000 pages (for cloud AI services)</w:t>
      </w:r>
      <w:hyperlink r:id="rId53">
        <w:r>
          <w:rPr>
            <w:rStyle w:val="Hyperlink"/>
          </w:rPr>
          <w:t xml:space="preserve">[28]</w:t>
        </w:r>
      </w:hyperlink>
      <w:r>
        <w:t xml:space="preserve">, which is equivalent to a fraction of an employee’s monthly hours. This cost/benefit makes the feature sustainable.</w:t>
      </w:r>
    </w:p>
    <w:bookmarkEnd w:id="54"/>
    <w:bookmarkStart w:id="55" w:name="api-contracts-for-catalog-services"/>
    <w:p>
      <w:pPr>
        <w:pStyle w:val="Heading2"/>
      </w:pPr>
      <w:r>
        <w:t xml:space="preserve">API Contracts for Catalog Services</w:t>
      </w:r>
    </w:p>
    <w:p>
      <w:pPr>
        <w:pStyle w:val="FirstParagraph"/>
      </w:pPr>
      <w:r>
        <w:t xml:space="preserve">We expose a clean set of RESTful APIs (documented via OpenAPI) for interacting with the product catalog and related functions. Below are the key endpoints with their intended behavior:</w:t>
      </w:r>
    </w:p>
    <w:p>
      <w:pPr>
        <w:pStyle w:val="SourceCode"/>
      </w:pPr>
      <w:r>
        <w:rPr>
          <w:rStyle w:val="VerbatimChar"/>
        </w:rPr>
        <w:t xml:space="preserve">GET /api/catalog/items</w:t>
      </w:r>
      <w:r>
        <w:br/>
      </w:r>
      <w:r>
        <w:rPr>
          <w:rStyle w:val="VerbatimChar"/>
        </w:rPr>
        <w:t xml:space="preserve">  summary: Query the product catalog with search and filters</w:t>
      </w:r>
      <w:r>
        <w:br/>
      </w:r>
      <w:r>
        <w:rPr>
          <w:rStyle w:val="VerbatimChar"/>
        </w:rPr>
        <w:t xml:space="preserve">  parameters:</w:t>
      </w:r>
      <w:r>
        <w:br/>
      </w:r>
      <w:r>
        <w:rPr>
          <w:rStyle w:val="VerbatimChar"/>
        </w:rPr>
        <w:t xml:space="preserve">    - name: q</w:t>
      </w:r>
      <w:r>
        <w:br/>
      </w:r>
      <w:r>
        <w:rPr>
          <w:rStyle w:val="VerbatimChar"/>
        </w:rPr>
        <w:t xml:space="preserve">      in: query</w:t>
      </w:r>
      <w:r>
        <w:br/>
      </w:r>
      <w:r>
        <w:rPr>
          <w:rStyle w:val="VerbatimChar"/>
        </w:rPr>
        <w:t xml:space="preserve">      description: Search query string (product name, keywords, or code)</w:t>
      </w:r>
      <w:r>
        <w:br/>
      </w:r>
      <w:r>
        <w:rPr>
          <w:rStyle w:val="VerbatimChar"/>
        </w:rPr>
        <w:t xml:space="preserve">      required: false</w:t>
      </w:r>
      <w:r>
        <w:br/>
      </w:r>
      <w:r>
        <w:rPr>
          <w:rStyle w:val="VerbatimChar"/>
        </w:rPr>
        <w:t xml:space="preserve">      schema:</w:t>
      </w:r>
      <w:r>
        <w:br/>
      </w:r>
      <w:r>
        <w:rPr>
          <w:rStyle w:val="VerbatimChar"/>
        </w:rPr>
        <w:t xml:space="preserve">        type: string</w:t>
      </w:r>
      <w:r>
        <w:br/>
      </w:r>
      <w:r>
        <w:rPr>
          <w:rStyle w:val="VerbatimChar"/>
        </w:rPr>
        <w:t xml:space="preserve">    - name: category</w:t>
      </w:r>
      <w:r>
        <w:br/>
      </w:r>
      <w:r>
        <w:rPr>
          <w:rStyle w:val="VerbatimChar"/>
        </w:rPr>
        <w:t xml:space="preserve">      in: query</w:t>
      </w:r>
      <w:r>
        <w:br/>
      </w:r>
      <w:r>
        <w:rPr>
          <w:rStyle w:val="VerbatimChar"/>
        </w:rPr>
        <w:t xml:space="preserve">      description: Filter by category code (e.g. 59 for Tools)</w:t>
      </w:r>
      <w:r>
        <w:br/>
      </w:r>
      <w:r>
        <w:rPr>
          <w:rStyle w:val="VerbatimChar"/>
        </w:rPr>
        <w:t xml:space="preserve">      required: false</w:t>
      </w:r>
      <w:r>
        <w:br/>
      </w:r>
      <w:r>
        <w:rPr>
          <w:rStyle w:val="VerbatimChar"/>
        </w:rPr>
        <w:t xml:space="preserve">      schema:</w:t>
      </w:r>
      <w:r>
        <w:br/>
      </w:r>
      <w:r>
        <w:rPr>
          <w:rStyle w:val="VerbatimChar"/>
        </w:rPr>
        <w:t xml:space="preserve">        type: string</w:t>
      </w:r>
      <w:r>
        <w:br/>
      </w:r>
      <w:r>
        <w:rPr>
          <w:rStyle w:val="VerbatimChar"/>
        </w:rPr>
        <w:t xml:space="preserve">    - name: ihm_compliant</w:t>
      </w:r>
      <w:r>
        <w:br/>
      </w:r>
      <w:r>
        <w:rPr>
          <w:rStyle w:val="VerbatimChar"/>
        </w:rPr>
        <w:t xml:space="preserve">      in: query</w:t>
      </w:r>
      <w:r>
        <w:br/>
      </w:r>
      <w:r>
        <w:rPr>
          <w:rStyle w:val="VerbatimChar"/>
        </w:rPr>
        <w:t xml:space="preserve">      description: Filter by IHM compliance (e.g. true or false)</w:t>
      </w:r>
      <w:r>
        <w:br/>
      </w:r>
      <w:r>
        <w:rPr>
          <w:rStyle w:val="VerbatimChar"/>
        </w:rPr>
        <w:t xml:space="preserve">      required: false</w:t>
      </w:r>
      <w:r>
        <w:br/>
      </w:r>
      <w:r>
        <w:rPr>
          <w:rStyle w:val="VerbatimChar"/>
        </w:rPr>
        <w:t xml:space="preserve">      schema:</w:t>
      </w:r>
      <w:r>
        <w:br/>
      </w:r>
      <w:r>
        <w:rPr>
          <w:rStyle w:val="VerbatimChar"/>
        </w:rPr>
        <w:t xml:space="preserve">        type: boolean</w:t>
      </w:r>
      <w:r>
        <w:br/>
      </w:r>
      <w:r>
        <w:rPr>
          <w:rStyle w:val="VerbatimChar"/>
        </w:rPr>
        <w:t xml:space="preserve">    - name: limit</w:t>
      </w:r>
      <w:r>
        <w:br/>
      </w:r>
      <w:r>
        <w:rPr>
          <w:rStyle w:val="VerbatimChar"/>
        </w:rPr>
        <w:t xml:space="preserve">      in: query</w:t>
      </w:r>
      <w:r>
        <w:br/>
      </w:r>
      <w:r>
        <w:rPr>
          <w:rStyle w:val="VerbatimChar"/>
        </w:rPr>
        <w:t xml:space="preserve">      description: Max number of results (default 20)</w:t>
      </w:r>
      <w:r>
        <w:br/>
      </w:r>
      <w:r>
        <w:rPr>
          <w:rStyle w:val="VerbatimChar"/>
        </w:rPr>
        <w:t xml:space="preserve">      schema:</w:t>
      </w:r>
      <w:r>
        <w:br/>
      </w:r>
      <w:r>
        <w:rPr>
          <w:rStyle w:val="VerbatimChar"/>
        </w:rPr>
        <w:t xml:space="preserve">        type: integer</w:t>
      </w:r>
      <w:r>
        <w:br/>
      </w:r>
      <w:r>
        <w:rPr>
          <w:rStyle w:val="VerbatimChar"/>
        </w:rPr>
        <w:t xml:space="preserve">  responses:</w:t>
      </w:r>
      <w:r>
        <w:br/>
      </w:r>
      <w:r>
        <w:rPr>
          <w:rStyle w:val="VerbatimChar"/>
        </w:rPr>
        <w:t xml:space="preserve">    '200':</w:t>
      </w:r>
      <w:r>
        <w:br/>
      </w:r>
      <w:r>
        <w:rPr>
          <w:rStyle w:val="VerbatimChar"/>
        </w:rPr>
        <w:t xml:space="preserve">      description: Matching catalog items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items:</w:t>
      </w:r>
      <w:r>
        <w:br/>
      </w:r>
      <w:r>
        <w:rPr>
          <w:rStyle w:val="VerbatimChar"/>
        </w:rPr>
        <w:t xml:space="preserve">                type: array</w:t>
      </w:r>
      <w:r>
        <w:br/>
      </w:r>
      <w:r>
        <w:rPr>
          <w:rStyle w:val="VerbatimChar"/>
        </w:rPr>
        <w:t xml:space="preserve">                items:</w:t>
      </w:r>
      <w:r>
        <w:br/>
      </w:r>
      <w:r>
        <w:rPr>
          <w:rStyle w:val="VerbatimChar"/>
        </w:rPr>
        <w:t xml:space="preserve">                  $ref: '#/components/schemas/CatalogItem'</w:t>
      </w:r>
    </w:p>
    <w:p>
      <w:pPr>
        <w:pStyle w:val="FirstParagraph"/>
      </w:pPr>
      <w:r>
        <w:t xml:space="preserve">This</w:t>
      </w:r>
      <w:r>
        <w:t xml:space="preserve"> </w:t>
      </w:r>
      <w:r>
        <w:rPr>
          <w:b/>
          <w:bCs/>
        </w:rPr>
        <w:t xml:space="preserve">GET /catalog/items</w:t>
      </w:r>
      <w:r>
        <w:t xml:space="preserve"> </w:t>
      </w:r>
      <w:r>
        <w:t xml:space="preserve">endpoint allows searching the catalog. If a</w:t>
      </w:r>
      <w:r>
        <w:t xml:space="preserve"> </w:t>
      </w:r>
      <w:r>
        <w:rPr>
          <w:rStyle w:val="VerbatimChar"/>
        </w:rPr>
        <w:t xml:space="preserve">q</w:t>
      </w:r>
      <w:r>
        <w:t xml:space="preserve"> </w:t>
      </w:r>
      <w:r>
        <w:t xml:space="preserve">is provided, it triggers a search (using the strategy described earlier – e.g., Meilisearch for text, direct code match if numeric, etc.). If no</w:t>
      </w:r>
      <w:r>
        <w:t xml:space="preserve"> </w:t>
      </w:r>
      <w:r>
        <w:rPr>
          <w:rStyle w:val="VerbatimChar"/>
        </w:rPr>
        <w:t xml:space="preserve">q</w:t>
      </w:r>
      <w:r>
        <w:t xml:space="preserve">, it can return a default list or require at least one filter. Filters like</w:t>
      </w:r>
      <w:r>
        <w:t xml:space="preserve"> </w:t>
      </w:r>
      <w:r>
        <w:rPr>
          <w:rStyle w:val="VerbatimChar"/>
        </w:rPr>
        <w:t xml:space="preserve">category</w:t>
      </w:r>
      <w:r>
        <w:t xml:space="preserve"> </w:t>
      </w:r>
      <w:r>
        <w:t xml:space="preserve">or</w:t>
      </w:r>
      <w:r>
        <w:t xml:space="preserve"> </w:t>
      </w:r>
      <w:r>
        <w:rPr>
          <w:rStyle w:val="VerbatimChar"/>
        </w:rPr>
        <w:t xml:space="preserve">ihm_compliant</w:t>
      </w:r>
      <w:r>
        <w:t xml:space="preserve"> </w:t>
      </w:r>
      <w:r>
        <w:t xml:space="preserve">refine the results. The response contains an array of CatalogItem objects (which would include fields like impa_code, description, unit, etc.). We may paginate results if needed (via page param or using</w:t>
      </w:r>
      <w:r>
        <w:t xml:space="preserve"> </w:t>
      </w:r>
      <w:r>
        <w:rPr>
          <w:rStyle w:val="VerbatimChar"/>
        </w:rPr>
        <w:t xml:space="preserve">limit</w:t>
      </w:r>
      <w:r>
        <w:t xml:space="preserve"> </w:t>
      </w:r>
      <w:r>
        <w:t xml:space="preserve">&amp; offset).</w:t>
      </w:r>
    </w:p>
    <w:p>
      <w:pPr>
        <w:pStyle w:val="SourceCode"/>
      </w:pPr>
      <w:r>
        <w:rPr>
          <w:rStyle w:val="VerbatimChar"/>
        </w:rPr>
        <w:t xml:space="preserve">GET /api/catalog/items/{code}</w:t>
      </w:r>
      <w:r>
        <w:br/>
      </w:r>
      <w:r>
        <w:rPr>
          <w:rStyle w:val="VerbatimChar"/>
        </w:rPr>
        <w:t xml:space="preserve">  summary: Retrieve a specific product by its code</w:t>
      </w:r>
      <w:r>
        <w:br/>
      </w:r>
      <w:r>
        <w:rPr>
          <w:rStyle w:val="VerbatimChar"/>
        </w:rPr>
        <w:t xml:space="preserve">  parameters:</w:t>
      </w:r>
      <w:r>
        <w:br/>
      </w:r>
      <w:r>
        <w:rPr>
          <w:rStyle w:val="VerbatimChar"/>
        </w:rPr>
        <w:t xml:space="preserve">    - name: code</w:t>
      </w:r>
      <w:r>
        <w:br/>
      </w:r>
      <w:r>
        <w:rPr>
          <w:rStyle w:val="VerbatimChar"/>
        </w:rPr>
        <w:t xml:space="preserve">      in: path</w:t>
      </w:r>
      <w:r>
        <w:br/>
      </w:r>
      <w:r>
        <w:rPr>
          <w:rStyle w:val="VerbatimChar"/>
        </w:rPr>
        <w:t xml:space="preserve">      required: true</w:t>
      </w:r>
      <w:r>
        <w:br/>
      </w:r>
      <w:r>
        <w:rPr>
          <w:rStyle w:val="VerbatimChar"/>
        </w:rPr>
        <w:t xml:space="preserve">      schema:</w:t>
      </w:r>
      <w:r>
        <w:br/>
      </w:r>
      <w:r>
        <w:rPr>
          <w:rStyle w:val="VerbatimChar"/>
        </w:rPr>
        <w:t xml:space="preserve">        type: string</w:t>
      </w:r>
      <w:r>
        <w:br/>
      </w:r>
      <w:r>
        <w:rPr>
          <w:rStyle w:val="VerbatimChar"/>
        </w:rPr>
        <w:t xml:space="preserve">        example: "592524"</w:t>
      </w:r>
      <w:r>
        <w:br/>
      </w:r>
      <w:r>
        <w:rPr>
          <w:rStyle w:val="VerbatimChar"/>
        </w:rPr>
        <w:t xml:space="preserve">  responses:</w:t>
      </w:r>
      <w:r>
        <w:br/>
      </w:r>
      <w:r>
        <w:rPr>
          <w:rStyle w:val="VerbatimChar"/>
        </w:rPr>
        <w:t xml:space="preserve">    '200':</w:t>
      </w:r>
      <w:r>
        <w:br/>
      </w:r>
      <w:r>
        <w:rPr>
          <w:rStyle w:val="VerbatimChar"/>
        </w:rPr>
        <w:t xml:space="preserve">      description: Product details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'#/components/schemas/CatalogItem'</w:t>
      </w:r>
      <w:r>
        <w:br/>
      </w:r>
      <w:r>
        <w:rPr>
          <w:rStyle w:val="VerbatimChar"/>
        </w:rPr>
        <w:t xml:space="preserve">    '404':</w:t>
      </w:r>
      <w:r>
        <w:br/>
      </w:r>
      <w:r>
        <w:rPr>
          <w:rStyle w:val="VerbatimChar"/>
        </w:rPr>
        <w:t xml:space="preserve">      description: Item not found</w:t>
      </w:r>
    </w:p>
    <w:p>
      <w:pPr>
        <w:pStyle w:val="FirstParagraph"/>
      </w:pPr>
      <w:r>
        <w:t xml:space="preserve">This returns the full details of a product (including attachments or extended metadata) given an exact code. This is used for quick lookups or when linking from search results.</w:t>
      </w:r>
    </w:p>
    <w:p>
      <w:pPr>
        <w:pStyle w:val="SourceCode"/>
      </w:pPr>
      <w:r>
        <w:rPr>
          <w:rStyle w:val="VerbatimChar"/>
        </w:rPr>
        <w:t xml:space="preserve">GET /api/catalog/suggestions</w:t>
      </w:r>
      <w:r>
        <w:br/>
      </w:r>
      <w:r>
        <w:rPr>
          <w:rStyle w:val="VerbatimChar"/>
        </w:rPr>
        <w:t xml:space="preserve">  summary: Autocomplete suggestions for a search query</w:t>
      </w:r>
      <w:r>
        <w:br/>
      </w:r>
      <w:r>
        <w:rPr>
          <w:rStyle w:val="VerbatimChar"/>
        </w:rPr>
        <w:t xml:space="preserve">  parameters:</w:t>
      </w:r>
      <w:r>
        <w:br/>
      </w:r>
      <w:r>
        <w:rPr>
          <w:rStyle w:val="VerbatimChar"/>
        </w:rPr>
        <w:t xml:space="preserve">    - name: q</w:t>
      </w:r>
      <w:r>
        <w:br/>
      </w:r>
      <w:r>
        <w:rPr>
          <w:rStyle w:val="VerbatimChar"/>
        </w:rPr>
        <w:t xml:space="preserve">      in: query</w:t>
      </w:r>
      <w:r>
        <w:br/>
      </w:r>
      <w:r>
        <w:rPr>
          <w:rStyle w:val="VerbatimChar"/>
        </w:rPr>
        <w:t xml:space="preserve">      required: true</w:t>
      </w:r>
      <w:r>
        <w:br/>
      </w:r>
      <w:r>
        <w:rPr>
          <w:rStyle w:val="VerbatimChar"/>
        </w:rPr>
        <w:t xml:space="preserve">      description: Partial query string</w:t>
      </w:r>
      <w:r>
        <w:br/>
      </w:r>
      <w:r>
        <w:rPr>
          <w:rStyle w:val="VerbatimChar"/>
        </w:rPr>
        <w:t xml:space="preserve">      schema:</w:t>
      </w:r>
      <w:r>
        <w:br/>
      </w:r>
      <w:r>
        <w:rPr>
          <w:rStyle w:val="VerbatimChar"/>
        </w:rPr>
        <w:t xml:space="preserve">        type: string</w:t>
      </w:r>
      <w:r>
        <w:br/>
      </w:r>
      <w:r>
        <w:rPr>
          <w:rStyle w:val="VerbatimChar"/>
        </w:rPr>
        <w:t xml:space="preserve">        example: "hand lam"</w:t>
      </w:r>
      <w:r>
        <w:br/>
      </w:r>
      <w:r>
        <w:rPr>
          <w:rStyle w:val="VerbatimChar"/>
        </w:rPr>
        <w:t xml:space="preserve">  responses:</w:t>
      </w:r>
      <w:r>
        <w:br/>
      </w:r>
      <w:r>
        <w:rPr>
          <w:rStyle w:val="VerbatimChar"/>
        </w:rPr>
        <w:t xml:space="preserve">    '200':</w:t>
      </w:r>
      <w:r>
        <w:br/>
      </w:r>
      <w:r>
        <w:rPr>
          <w:rStyle w:val="VerbatimChar"/>
        </w:rPr>
        <w:t xml:space="preserve">      description: Suggested completions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suggestions:</w:t>
      </w:r>
      <w:r>
        <w:br/>
      </w:r>
      <w:r>
        <w:rPr>
          <w:rStyle w:val="VerbatimChar"/>
        </w:rPr>
        <w:t xml:space="preserve">                type: array</w:t>
      </w:r>
      <w:r>
        <w:br/>
      </w:r>
      <w:r>
        <w:rPr>
          <w:rStyle w:val="VerbatimChar"/>
        </w:rPr>
        <w:t xml:space="preserve">                items:</w:t>
      </w:r>
      <w:r>
        <w:br/>
      </w:r>
      <w:r>
        <w:rPr>
          <w:rStyle w:val="VerbatimChar"/>
        </w:rPr>
        <w:t xml:space="preserve">                  type: string</w:t>
      </w:r>
      <w:r>
        <w:br/>
      </w:r>
      <w:r>
        <w:rPr>
          <w:rStyle w:val="VerbatimChar"/>
        </w:rPr>
        <w:t xml:space="preserve">                  example: "Hand lamp (brass)"</w:t>
      </w:r>
    </w:p>
    <w:p>
      <w:pPr>
        <w:pStyle w:val="FirstParagraph"/>
      </w:pPr>
      <w:r>
        <w:t xml:space="preserve">As the user types in search boxes (especially on the front-end), this endpoint returns suggested product names or relevant queries. The backend implementation calls Meilisearch’s search-as-you-type with a very low</w:t>
      </w:r>
      <w:r>
        <w:t xml:space="preserve"> </w:t>
      </w:r>
      <w:r>
        <w:rPr>
          <w:rStyle w:val="VerbatimChar"/>
        </w:rPr>
        <w:t xml:space="preserve">limit</w:t>
      </w:r>
      <w:r>
        <w:t xml:space="preserve"> </w:t>
      </w:r>
      <w:r>
        <w:t xml:space="preserve">(e.g. top 5 suggestions) and returns just the names or phrases to display. For example,</w:t>
      </w:r>
      <w:r>
        <w:t xml:space="preserve"> </w:t>
      </w:r>
      <w:r>
        <w:rPr>
          <w:rStyle w:val="VerbatimChar"/>
        </w:rPr>
        <w:t xml:space="preserve">q=hand lam</w:t>
      </w:r>
      <w:r>
        <w:t xml:space="preserve"> </w:t>
      </w:r>
      <w:r>
        <w:t xml:space="preserve">might return suggestions like “Hand lamp (brass)”, “Hand lamp LED”, etc. If the input looks like a code (e.g. “59”) we could also suggest completing it (like “592524 – Chisel 1/2\" sq. cranked”). These suggestions improve UX by guiding users to valid items quickly.</w:t>
      </w:r>
    </w:p>
    <w:p>
      <w:pPr>
        <w:pStyle w:val="SourceCode"/>
      </w:pPr>
      <w:r>
        <w:rPr>
          <w:rStyle w:val="VerbatimChar"/>
        </w:rPr>
        <w:t xml:space="preserve">POST /api/catalog/import</w:t>
      </w:r>
      <w:r>
        <w:br/>
      </w:r>
      <w:r>
        <w:rPr>
          <w:rStyle w:val="VerbatimChar"/>
        </w:rPr>
        <w:t xml:space="preserve">  summary: Batch import catalog items via file</w:t>
      </w:r>
      <w:r>
        <w:br/>
      </w:r>
      <w:r>
        <w:rPr>
          <w:rStyle w:val="VerbatimChar"/>
        </w:rPr>
        <w:t xml:space="preserve">  requestBody:</w:t>
      </w:r>
      <w:r>
        <w:br/>
      </w:r>
      <w:r>
        <w:rPr>
          <w:rStyle w:val="VerbatimChar"/>
        </w:rPr>
        <w:t xml:space="preserve">    content:</w:t>
      </w:r>
      <w:r>
        <w:br/>
      </w:r>
      <w:r>
        <w:rPr>
          <w:rStyle w:val="VerbatimChar"/>
        </w:rPr>
        <w:t xml:space="preserve">      multipart/form-data:</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file:</w:t>
      </w:r>
      <w:r>
        <w:br/>
      </w:r>
      <w:r>
        <w:rPr>
          <w:rStyle w:val="VerbatimChar"/>
        </w:rPr>
        <w:t xml:space="preserve">              type: string</w:t>
      </w:r>
      <w:r>
        <w:br/>
      </w:r>
      <w:r>
        <w:rPr>
          <w:rStyle w:val="VerbatimChar"/>
        </w:rPr>
        <w:t xml:space="preserve">              format: binary</w:t>
      </w:r>
      <w:r>
        <w:br/>
      </w:r>
      <w:r>
        <w:rPr>
          <w:rStyle w:val="VerbatimChar"/>
        </w:rPr>
        <w:t xml:space="preserve">              description: IMPA CSV/Excel file</w:t>
      </w:r>
      <w:r>
        <w:br/>
      </w:r>
      <w:r>
        <w:rPr>
          <w:rStyle w:val="VerbatimChar"/>
        </w:rPr>
        <w:t xml:space="preserve">  responses:</w:t>
      </w:r>
      <w:r>
        <w:br/>
      </w:r>
      <w:r>
        <w:rPr>
          <w:rStyle w:val="VerbatimChar"/>
        </w:rPr>
        <w:t xml:space="preserve">    '202':</w:t>
      </w:r>
      <w:r>
        <w:br/>
      </w:r>
      <w:r>
        <w:rPr>
          <w:rStyle w:val="VerbatimChar"/>
        </w:rPr>
        <w:t xml:space="preserve">      description: Import started (job queued)</w:t>
      </w:r>
    </w:p>
    <w:p>
      <w:pPr>
        <w:pStyle w:val="FirstParagraph"/>
      </w:pPr>
      <w:r>
        <w:t xml:space="preserve">This endpoint allows an authorized admin to upload a CSV/Excel (for example, the biannual IMPA update file). The server will validate the file format and enqueue a background import job. A 202 Accepted means the import is in progress. (We will have another endpoint or mechanism to report import status/progress, e.g. via an async result or event.) The import process will read the file, upsert records, and index them as described earlier. By handling it asynchronously, we prevent timeouts and can process thousands of records safely.</w:t>
      </w:r>
    </w:p>
    <w:p>
      <w:pPr>
        <w:pStyle w:val="SourceCode"/>
      </w:pPr>
      <w:r>
        <w:rPr>
          <w:rStyle w:val="VerbatimChar"/>
        </w:rPr>
        <w:t xml:space="preserve">POST /api/catalog/match</w:t>
      </w:r>
      <w:r>
        <w:br/>
      </w:r>
      <w:r>
        <w:rPr>
          <w:rStyle w:val="VerbatimChar"/>
        </w:rPr>
        <w:t xml:space="preserve">  summary: Find best catalog matches for given item description</w:t>
      </w:r>
      <w:r>
        <w:br/>
      </w:r>
      <w:r>
        <w:rPr>
          <w:rStyle w:val="VerbatimChar"/>
        </w:rPr>
        <w:t xml:space="preserve">  requestBody:</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description:</w:t>
      </w:r>
      <w:r>
        <w:br/>
      </w:r>
      <w:r>
        <w:rPr>
          <w:rStyle w:val="VerbatimChar"/>
        </w:rPr>
        <w:t xml:space="preserve">              type: string</w:t>
      </w:r>
      <w:r>
        <w:br/>
      </w:r>
      <w:r>
        <w:rPr>
          <w:rStyle w:val="VerbatimChar"/>
        </w:rPr>
        <w:t xml:space="preserve">            quantity:</w:t>
      </w:r>
      <w:r>
        <w:br/>
      </w:r>
      <w:r>
        <w:rPr>
          <w:rStyle w:val="VerbatimChar"/>
        </w:rPr>
        <w:t xml:space="preserve">              type: number</w:t>
      </w:r>
      <w:r>
        <w:br/>
      </w:r>
      <w:r>
        <w:rPr>
          <w:rStyle w:val="VerbatimChar"/>
        </w:rPr>
        <w:t xml:space="preserve">            unit:</w:t>
      </w:r>
      <w:r>
        <w:br/>
      </w:r>
      <w:r>
        <w:rPr>
          <w:rStyle w:val="VerbatimChar"/>
        </w:rPr>
        <w:t xml:space="preserve">              type: string</w:t>
      </w:r>
      <w:r>
        <w:br/>
      </w:r>
      <w:r>
        <w:rPr>
          <w:rStyle w:val="VerbatimChar"/>
        </w:rPr>
        <w:t xml:space="preserve">          example:</w:t>
      </w:r>
      <w:r>
        <w:br/>
      </w:r>
      <w:r>
        <w:rPr>
          <w:rStyle w:val="VerbatimChar"/>
        </w:rPr>
        <w:t xml:space="preserve">            description: "Hand lamp brass"</w:t>
      </w:r>
      <w:r>
        <w:br/>
      </w:r>
      <w:r>
        <w:rPr>
          <w:rStyle w:val="VerbatimChar"/>
        </w:rPr>
        <w:t xml:space="preserve">            quantity: 20</w:t>
      </w:r>
      <w:r>
        <w:br/>
      </w:r>
      <w:r>
        <w:rPr>
          <w:rStyle w:val="VerbatimChar"/>
        </w:rPr>
        <w:t xml:space="preserve">            unit: "PCS"</w:t>
      </w:r>
      <w:r>
        <w:br/>
      </w:r>
      <w:r>
        <w:rPr>
          <w:rStyle w:val="VerbatimChar"/>
        </w:rPr>
        <w:t xml:space="preserve">  responses:</w:t>
      </w:r>
      <w:r>
        <w:br/>
      </w:r>
      <w:r>
        <w:rPr>
          <w:rStyle w:val="VerbatimChar"/>
        </w:rPr>
        <w:t xml:space="preserve">    '200':</w:t>
      </w:r>
      <w:r>
        <w:br/>
      </w:r>
      <w:r>
        <w:rPr>
          <w:rStyle w:val="VerbatimChar"/>
        </w:rPr>
        <w:t xml:space="preserve">      description: Match results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matches:</w:t>
      </w:r>
      <w:r>
        <w:br/>
      </w:r>
      <w:r>
        <w:rPr>
          <w:rStyle w:val="VerbatimChar"/>
        </w:rPr>
        <w:t xml:space="preserve">                type: array</w:t>
      </w:r>
      <w:r>
        <w:br/>
      </w:r>
      <w:r>
        <w:rPr>
          <w:rStyle w:val="VerbatimChar"/>
        </w:rPr>
        <w:t xml:space="preserve">                items:</w:t>
      </w:r>
      <w:r>
        <w:br/>
      </w:r>
      <w:r>
        <w:rPr>
          <w:rStyle w:val="VerbatimChar"/>
        </w:rPr>
        <w:t xml:space="preserve">                  type: object</w:t>
      </w:r>
      <w:r>
        <w:br/>
      </w:r>
      <w:r>
        <w:rPr>
          <w:rStyle w:val="VerbatimChar"/>
        </w:rPr>
        <w:t xml:space="preserve">                  properties:</w:t>
      </w:r>
      <w:r>
        <w:br/>
      </w:r>
      <w:r>
        <w:rPr>
          <w:rStyle w:val="VerbatimChar"/>
        </w:rPr>
        <w:t xml:space="preserve">                    impa_code:</w:t>
      </w:r>
      <w:r>
        <w:br/>
      </w:r>
      <w:r>
        <w:rPr>
          <w:rStyle w:val="VerbatimChar"/>
        </w:rPr>
        <w:t xml:space="preserve">                      type: string</w:t>
      </w:r>
      <w:r>
        <w:br/>
      </w:r>
      <w:r>
        <w:rPr>
          <w:rStyle w:val="VerbatimChar"/>
        </w:rPr>
        <w:t xml:space="preserve">                    description:</w:t>
      </w:r>
      <w:r>
        <w:br/>
      </w:r>
      <w:r>
        <w:rPr>
          <w:rStyle w:val="VerbatimChar"/>
        </w:rPr>
        <w:t xml:space="preserve">                      type: string</w:t>
      </w:r>
      <w:r>
        <w:br/>
      </w:r>
      <w:r>
        <w:rPr>
          <w:rStyle w:val="VerbatimChar"/>
        </w:rPr>
        <w:t xml:space="preserve">                    confidence:</w:t>
      </w:r>
      <w:r>
        <w:br/>
      </w:r>
      <w:r>
        <w:rPr>
          <w:rStyle w:val="VerbatimChar"/>
        </w:rPr>
        <w:t xml:space="preserve">                      type: number</w:t>
      </w:r>
    </w:p>
    <w:p>
      <w:pPr>
        <w:pStyle w:val="FirstParagraph"/>
      </w:pPr>
      <w:r>
        <w:t xml:space="preserve">The</w:t>
      </w:r>
      <w:r>
        <w:t xml:space="preserve"> </w:t>
      </w:r>
      <w:r>
        <w:rPr>
          <w:b/>
          <w:bCs/>
        </w:rPr>
        <w:t xml:space="preserve">SKU match endpoint</w:t>
      </w:r>
      <w:r>
        <w:t xml:space="preserve"> </w:t>
      </w:r>
      <w:r>
        <w:t xml:space="preserve">accepts a line item (description with optional quantity/unit context) and returns a list of likely catalog matches with confidence scores. This essentially exposes part of the Document AI pipeline as an API. It can be used in interactive scenarios – e.g., if a user manually types an item that wasn’t auto-matched, the frontend can call this to get suggestions. It uses the same vector search and LLM logic internally. In responses,</w:t>
      </w:r>
      <w:r>
        <w:t xml:space="preserve"> </w:t>
      </w:r>
      <w:r>
        <w:rPr>
          <w:rStyle w:val="VerbatimChar"/>
        </w:rPr>
        <w:t xml:space="preserve">confidence</w:t>
      </w:r>
      <w:r>
        <w:t xml:space="preserve"> </w:t>
      </w:r>
      <w:r>
        <w:t xml:space="preserve">is a normalized score (0-100 or 0-1) indicating how sure the system is. The client can decide how to display or use this (e.g., auto-select if confidence &gt; 95).</w:t>
      </w:r>
    </w:p>
    <w:p>
      <w:pPr>
        <w:pStyle w:val="BodyText"/>
      </w:pPr>
      <w:r>
        <w:t xml:space="preserve">All the above endpoints will be secured via proper auth (since this is an internal/B2B system). We will document them in an OpenAPI 3.0 spec, enabling easy integration with other systems or future microservices.</w:t>
      </w:r>
    </w:p>
    <w:bookmarkEnd w:id="55"/>
    <w:bookmarkStart w:id="59" w:name="Xa85e64d97d3b434947bd2222ca1fb533b78fe3c"/>
    <w:p>
      <w:pPr>
        <w:pStyle w:val="Heading2"/>
      </w:pPr>
      <w:r>
        <w:t xml:space="preserve">Backend Architecture (NestJS Monolith &amp; BullMQ)</w:t>
      </w:r>
    </w:p>
    <w:p>
      <w:pPr>
        <w:pStyle w:val="FirstParagraph"/>
      </w:pPr>
      <w:r>
        <w:t xml:space="preserve">The backend is implemented in</w:t>
      </w:r>
      <w:r>
        <w:t xml:space="preserve"> </w:t>
      </w:r>
      <w:r>
        <w:rPr>
          <w:b/>
          <w:bCs/>
        </w:rPr>
        <w:t xml:space="preserve">NestJS (Node.js with TypeScript)</w:t>
      </w:r>
      <w:r>
        <w:t xml:space="preserve">, structured as a</w:t>
      </w:r>
      <w:r>
        <w:t xml:space="preserve"> </w:t>
      </w:r>
      <w:r>
        <w:rPr>
          <w:b/>
          <w:bCs/>
        </w:rPr>
        <w:t xml:space="preserve">modular monolith</w:t>
      </w:r>
      <w:r>
        <w:t xml:space="preserve">. NestJS’s modular architecture (with controllers, providers, modules) allows us to keep different domains (catalog, orders, etc.) logically separated, while deploying as a single service initially. This design choice is intentional to reduce complexity in the early stages –</w:t>
      </w:r>
      <w:r>
        <w:t xml:space="preserve"> </w:t>
      </w:r>
      <w:r>
        <w:rPr>
          <w:i/>
          <w:iCs/>
        </w:rPr>
        <w:t xml:space="preserve">“Start with a modular monolith”</w:t>
      </w:r>
      <w:r>
        <w:t xml:space="preserve"> </w:t>
      </w:r>
      <w:r>
        <w:t xml:space="preserve">is a key principle, since premature microservices often introduce needless operational overhead and failure points</w:t>
      </w:r>
      <w:hyperlink r:id="rId56">
        <w:r>
          <w:rPr>
            <w:rStyle w:val="Hyperlink"/>
          </w:rPr>
          <w:t xml:space="preserve">[29]</w:t>
        </w:r>
      </w:hyperlink>
      <w:r>
        <w:t xml:space="preserve">. Each module in the monolith encapsulates its logic and could later be extracted as a microservice if needed, but initially they run in one process for simplicity.</w:t>
      </w:r>
    </w:p>
    <w:p>
      <w:pPr>
        <w:pStyle w:val="BodyText"/>
      </w:pPr>
      <w:r>
        <w:t xml:space="preserve">Key modules and components in the backend:</w:t>
      </w:r>
    </w:p>
    <w:p>
      <w:pPr>
        <w:numPr>
          <w:ilvl w:val="0"/>
          <w:numId w:val="1003"/>
        </w:numPr>
      </w:pPr>
      <w:r>
        <w:rPr>
          <w:b/>
          <w:bCs/>
        </w:rPr>
        <w:t xml:space="preserve">Catalog Module:</w:t>
      </w:r>
      <w:r>
        <w:t xml:space="preserve"> </w:t>
      </w:r>
      <w:r>
        <w:t xml:space="preserve">Contains services for managing product data (CRUD on the PostgreSQL tables), search integration (communicating with Meilisearch and pgvector queries), and business logic around the catalog. It houses the controller for</w:t>
      </w:r>
      <w:r>
        <w:t xml:space="preserve"> </w:t>
      </w:r>
      <w:r>
        <w:rPr>
          <w:rStyle w:val="VerbatimChar"/>
        </w:rPr>
        <w:t xml:space="preserve">/api/catalog/*</w:t>
      </w:r>
      <w:r>
        <w:t xml:space="preserve"> </w:t>
      </w:r>
      <w:r>
        <w:t xml:space="preserve">endpoints. It also includes a sub-service for</w:t>
      </w:r>
      <w:r>
        <w:t xml:space="preserve"> </w:t>
      </w:r>
      <w:r>
        <w:rPr>
          <w:b/>
          <w:bCs/>
        </w:rPr>
        <w:t xml:space="preserve">Import</w:t>
      </w:r>
      <w:r>
        <w:t xml:space="preserve"> </w:t>
      </w:r>
      <w:r>
        <w:t xml:space="preserve">that handles parsing and upserting CSV files (invoked by the import controller or via a cron).</w:t>
      </w:r>
    </w:p>
    <w:p>
      <w:pPr>
        <w:numPr>
          <w:ilvl w:val="0"/>
          <w:numId w:val="1003"/>
        </w:numPr>
      </w:pPr>
      <w:r>
        <w:rPr>
          <w:b/>
          <w:bCs/>
        </w:rPr>
        <w:t xml:space="preserve">Search integration:</w:t>
      </w:r>
      <w:r>
        <w:t xml:space="preserve"> </w:t>
      </w:r>
      <w:r>
        <w:t xml:space="preserve">While Meilisearch runs as a separate service, we have a Search service in Nest that abstracts queries to it (using Meili’s HTTP API client) and combines results with any Postgres lookups needed. This service is used by the Catalog controller to fulfill queries.</w:t>
      </w:r>
    </w:p>
    <w:p>
      <w:pPr>
        <w:numPr>
          <w:ilvl w:val="0"/>
          <w:numId w:val="1003"/>
        </w:numPr>
      </w:pPr>
      <w:r>
        <w:rPr>
          <w:b/>
          <w:bCs/>
        </w:rPr>
        <w:t xml:space="preserve">Document Processing Module:</w:t>
      </w:r>
      <w:r>
        <w:t xml:space="preserve"> </w:t>
      </w:r>
      <w:r>
        <w:t xml:space="preserve">A module responsible for the requisition processing pipeline. It includes the controller for file uploads and perhaps a WebSocket or polling mechanism to notify the client of completion. Crucially, most of its work is done in background workers, but Nest can orchestrate the job creation. We use</w:t>
      </w:r>
      <w:r>
        <w:t xml:space="preserve"> </w:t>
      </w:r>
      <w:r>
        <w:rPr>
          <w:b/>
          <w:bCs/>
        </w:rPr>
        <w:t xml:space="preserve">BullMQ</w:t>
      </w:r>
      <w:r>
        <w:t xml:space="preserve"> </w:t>
      </w:r>
      <w:r>
        <w:t xml:space="preserve">(with a Redis instance) as the backbone for these background jobs. NestJS integrates with Bull via</w:t>
      </w:r>
      <w:r>
        <w:t xml:space="preserve"> </w:t>
      </w:r>
      <w:r>
        <w:rPr>
          <w:rStyle w:val="VerbatimChar"/>
        </w:rPr>
        <w:t xml:space="preserve">@nestjs/bull</w:t>
      </w:r>
      <w:r>
        <w:t xml:space="preserve"> </w:t>
      </w:r>
      <w:r>
        <w:t xml:space="preserve">module, allowing us to define</w:t>
      </w:r>
      <w:r>
        <w:t xml:space="preserve"> </w:t>
      </w:r>
      <w:r>
        <w:rPr>
          <w:b/>
          <w:bCs/>
        </w:rPr>
        <w:t xml:space="preserve">queues</w:t>
      </w:r>
      <w:r>
        <w:t xml:space="preserve"> </w:t>
      </w:r>
      <w:r>
        <w:t xml:space="preserve">and</w:t>
      </w:r>
      <w:r>
        <w:t xml:space="preserve"> </w:t>
      </w:r>
      <w:r>
        <w:rPr>
          <w:b/>
          <w:bCs/>
        </w:rPr>
        <w:t xml:space="preserve">processors</w:t>
      </w:r>
      <w:r>
        <w:t xml:space="preserve">. We will have a queue (e.g.,</w:t>
      </w:r>
      <w:r>
        <w:t xml:space="preserve"> </w:t>
      </w:r>
      <w:r>
        <w:rPr>
          <w:rStyle w:val="VerbatimChar"/>
        </w:rPr>
        <w:t xml:space="preserve">requisitionsQueue</w:t>
      </w:r>
      <w:r>
        <w:t xml:space="preserve">) and a processor that calls Azure AI and the LLM as described. For scalability and isolation, the BullMQ workers can run in separate Node processes – either via the same monorepo launched in worker mode or even as separate containers – but still part of the “monolith” codebase. This separation ensures heavy CPU or I/O bound tasks (like calling external APIs or computing embeddings) don’t block the main API event loop.</w:t>
      </w:r>
    </w:p>
    <w:p>
      <w:pPr>
        <w:numPr>
          <w:ilvl w:val="0"/>
          <w:numId w:val="1003"/>
        </w:numPr>
      </w:pPr>
      <w:r>
        <w:rPr>
          <w:b/>
          <w:bCs/>
        </w:rPr>
        <w:t xml:space="preserve">Database integration:</w:t>
      </w:r>
      <w:r>
        <w:t xml:space="preserve"> </w:t>
      </w:r>
      <w:r>
        <w:t xml:space="preserve">We use an ORM or query builder (TypeORM or Prisma) for interacting with Postgres, taking advantage of Nest’s DI to inject repositories. Transaction management is important, e.g., the import service might perform a bulk upsert in a transaction. We also enable pgvector functions via raw SQL or an ORM extension since that’s a newer feature (alternatively using the pgvector Node client if available).</w:t>
      </w:r>
    </w:p>
    <w:p>
      <w:pPr>
        <w:numPr>
          <w:ilvl w:val="0"/>
          <w:numId w:val="1003"/>
        </w:numPr>
      </w:pPr>
      <w:r>
        <w:rPr>
          <w:b/>
          <w:bCs/>
        </w:rPr>
        <w:t xml:space="preserve">Auth Module:</w:t>
      </w:r>
      <w:r>
        <w:t xml:space="preserve"> </w:t>
      </w:r>
      <w:r>
        <w:t xml:space="preserve">(Not detailed in the prompt, but assumed necessary) to handle authentication/authorization for the APIs, ensuring that only authorized users (internal staff, etc.) can call sensitive endpoints like import or get catalog data.</w:t>
      </w:r>
    </w:p>
    <w:p>
      <w:pPr>
        <w:numPr>
          <w:ilvl w:val="0"/>
          <w:numId w:val="1003"/>
        </w:numPr>
      </w:pPr>
      <w:r>
        <w:rPr>
          <w:b/>
          <w:bCs/>
        </w:rPr>
        <w:t xml:space="preserve">Logging &amp; Monitoring:</w:t>
      </w:r>
      <w:r>
        <w:t xml:space="preserve"> </w:t>
      </w:r>
      <w:r>
        <w:t xml:space="preserve">The backend will include centralized logging (maybe Winston or a Nest logger) and metrics for performance. For example, we’ll monitor search query latencies (especially external calls to Meili or vector search timings) to ensure our search remains sub-100ms in general. If performance issues arise, we can consider caching frequent queries or increasing resources.</w:t>
      </w:r>
    </w:p>
    <w:p>
      <w:pPr>
        <w:pStyle w:val="FirstParagraph"/>
      </w:pPr>
      <w:r>
        <w:t xml:space="preserve">The</w:t>
      </w:r>
      <w:r>
        <w:t xml:space="preserve"> </w:t>
      </w:r>
      <w:r>
        <w:rPr>
          <w:b/>
          <w:bCs/>
        </w:rPr>
        <w:t xml:space="preserve">integration with BullMQ</w:t>
      </w:r>
      <w:r>
        <w:t xml:space="preserve"> </w:t>
      </w:r>
      <w:r>
        <w:t xml:space="preserve">is a key aspect. We use Redis as a durable store for jobs. For example, when a CSV import is initiated via API, the Catalog Service might split the file into chunks and enqueue jobs for each chunk to be processed in parallel by workers. Similarly, each uploaded requisition file creates a job in the queue. We configure worker concurrency to maybe handle a handful of files simultaneously (depending on memory/CPU and external API rate limits). BullMQ will manage retries automatically if a job fails (we can configure backoff and max attempts for things like transient Azure/LLM failures). We will also use Bull’s events or an email/notification to alert if a job ultimately fails so that a human can intervene.</w:t>
      </w:r>
    </w:p>
    <w:p>
      <w:pPr>
        <w:pStyle w:val="BodyText"/>
      </w:pPr>
      <w:r>
        <w:t xml:space="preserve">The backend monolith will be containerized and deployed (likely on AWS ECS Fargate initially as per our cloud choice)</w:t>
      </w:r>
      <w:hyperlink r:id="rId57">
        <w:r>
          <w:rPr>
            <w:rStyle w:val="Hyperlink"/>
          </w:rPr>
          <w:t xml:space="preserve">[30]</w:t>
        </w:r>
      </w:hyperlink>
      <w:hyperlink r:id="rId58">
        <w:r>
          <w:rPr>
            <w:rStyle w:val="Hyperlink"/>
          </w:rPr>
          <w:t xml:space="preserve">[31]</w:t>
        </w:r>
      </w:hyperlink>
      <w:r>
        <w:t xml:space="preserve">. Within the container, the main NestJS HTTP server runs (handling API requests), and we may run workers either as separate container tasks or threads. Another approach is to run the workers in the same process using NestJS’s ability to start multiple microservice servers, but separating them is cleaner for scaling – we can allocate more replicas of workers without affecting API capacity. This essentially gives us a producer-consumer model: the API (producer) enqueues jobs, and worker processes (consumers) handle them.</w:t>
      </w:r>
    </w:p>
    <w:p>
      <w:pPr>
        <w:pStyle w:val="BodyText"/>
      </w:pPr>
      <w:r>
        <w:rPr>
          <w:b/>
          <w:bCs/>
        </w:rPr>
        <w:t xml:space="preserve">System diagram:</w:t>
      </w:r>
      <w:r>
        <w:t xml:space="preserve"> </w:t>
      </w:r>
      <w:r>
        <w:t xml:space="preserve">The high-level data flow can be summarized as: client requests hit</w:t>
      </w:r>
      <w:r>
        <w:t xml:space="preserve"> </w:t>
      </w:r>
      <w:r>
        <w:rPr>
          <w:b/>
          <w:bCs/>
        </w:rPr>
        <w:t xml:space="preserve">NestJS API</w:t>
      </w:r>
      <w:r>
        <w:t xml:space="preserve"> </w:t>
      </w:r>
      <w:r>
        <w:t xml:space="preserve">-&gt; API uses</w:t>
      </w:r>
      <w:r>
        <w:t xml:space="preserve"> </w:t>
      </w:r>
      <w:r>
        <w:rPr>
          <w:b/>
          <w:bCs/>
        </w:rPr>
        <w:t xml:space="preserve">Postgres</w:t>
      </w:r>
      <w:r>
        <w:t xml:space="preserve"> </w:t>
      </w:r>
      <w:r>
        <w:t xml:space="preserve">for core data (via an adapter with pgvector extension) and uses</w:t>
      </w:r>
      <w:r>
        <w:t xml:space="preserve"> </w:t>
      </w:r>
      <w:r>
        <w:rPr>
          <w:b/>
          <w:bCs/>
        </w:rPr>
        <w:t xml:space="preserve">Meilisearch</w:t>
      </w:r>
      <w:r>
        <w:t xml:space="preserve"> </w:t>
      </w:r>
      <w:r>
        <w:t xml:space="preserve">service for text queries -&gt; background tasks are offloaded to</w:t>
      </w:r>
      <w:r>
        <w:t xml:space="preserve"> </w:t>
      </w:r>
      <w:r>
        <w:rPr>
          <w:b/>
          <w:bCs/>
        </w:rPr>
        <w:t xml:space="preserve">Redis/BullMQ</w:t>
      </w:r>
      <w:r>
        <w:t xml:space="preserve"> </w:t>
      </w:r>
      <w:r>
        <w:t xml:space="preserve">-&gt;</w:t>
      </w:r>
      <w:r>
        <w:t xml:space="preserve"> </w:t>
      </w:r>
      <w:r>
        <w:rPr>
          <w:b/>
          <w:bCs/>
        </w:rPr>
        <w:t xml:space="preserve">worker processes</w:t>
      </w:r>
      <w:r>
        <w:t xml:space="preserve"> </w:t>
      </w:r>
      <w:r>
        <w:t xml:space="preserve">pull tasks and may call external services (Azure AI, LLM APIs) and then store results back in Postgres. The diagram below illustrates two key flows (search and document processing):</w:t>
      </w:r>
    </w:p>
    <w:p>
      <w:pPr>
        <w:pStyle w:val="Compact"/>
        <w:numPr>
          <w:ilvl w:val="0"/>
          <w:numId w:val="1004"/>
        </w:numPr>
      </w:pPr>
      <w:r>
        <w:rPr>
          <w:i/>
          <w:iCs/>
        </w:rPr>
        <w:t xml:space="preserve">Search Query Flow:</w:t>
      </w:r>
      <w:r>
        <w:t xml:space="preserve"> </w:t>
      </w:r>
      <w:r>
        <w:t xml:space="preserve">User (Web/Mobile) calls</w:t>
      </w:r>
      <w:r>
        <w:t xml:space="preserve"> </w:t>
      </w:r>
      <w:r>
        <w:rPr>
          <w:rStyle w:val="VerbatimChar"/>
        </w:rPr>
        <w:t xml:space="preserve">/catalog/items?q=...</w:t>
      </w:r>
      <w:r>
        <w:t xml:space="preserve"> </w:t>
      </w:r>
      <w:r>
        <w:t xml:space="preserve">→ NestJS CatalogController → CatalogService → (if text search) Meilisearch (returns list of item IDs) → Postgres (fetch item details by IDs) → results to user. If vector search needed: CatalogService → Postgres pgvector query → results. In both cases, Postgres is the source of truth for item data, Meili is for fuzzy matching.</w:t>
      </w:r>
    </w:p>
    <w:p>
      <w:pPr>
        <w:pStyle w:val="Compact"/>
        <w:numPr>
          <w:ilvl w:val="0"/>
          <w:numId w:val="1004"/>
        </w:numPr>
      </w:pPr>
      <w:r>
        <w:rPr>
          <w:i/>
          <w:iCs/>
        </w:rPr>
        <w:t xml:space="preserve">Document Processing Flow:</w:t>
      </w:r>
      <w:r>
        <w:t xml:space="preserve"> </w:t>
      </w:r>
      <w:r>
        <w:t xml:space="preserve">User uploads file → NestJS DocController stores file (S3) &amp; enqueues job → Worker pulls job → Worker calls Azure Document AI → gets structured data → Worker calls OpenAI/LLM for normalization → Worker calls Postgres/pgvector for each line to match SKUs → Worker writes results to DB (requisition tables) → (optionally emits an event or updates job status) → User is notified (polling or via WebSocket) that processing is done and can fetch the structured result.</w:t>
      </w:r>
    </w:p>
    <w:p>
      <w:pPr>
        <w:pStyle w:val="FirstParagraph"/>
      </w:pPr>
      <w:r>
        <w:t xml:space="preserve">This design using NestJS gives us consistency in language (TypeScript across front/back), strong typing for our data models, and built-in support for things like WebSockets (which we might use later for real-time updates, e.g., to notify when a requisition is processed). It also eases the transition to microservices in the future if needed – Nest’s microservice mode would allow us to peel off the document processing or search into separate services when scaling requires it. Until then, the monolith approach avoids the overhead of managing numerous services, which is a known early-stage pitfall (</w:t>
      </w:r>
      <w:r>
        <w:rPr>
          <w:i/>
          <w:iCs/>
        </w:rPr>
        <w:t xml:space="preserve">microservice sprawl can sink young platforms</w:t>
      </w:r>
      <w:r>
        <w:t xml:space="preserve"> </w:t>
      </w:r>
      <w:r>
        <w:t xml:space="preserve">due to operational complexity</w:t>
      </w:r>
      <w:hyperlink r:id="rId56">
        <w:r>
          <w:rPr>
            <w:rStyle w:val="Hyperlink"/>
          </w:rPr>
          <w:t xml:space="preserve">[29]</w:t>
        </w:r>
      </w:hyperlink>
      <w:r>
        <w:t xml:space="preserve">).</w:t>
      </w:r>
    </w:p>
    <w:bookmarkEnd w:id="59"/>
    <w:bookmarkStart w:id="63" w:name="frontend-and-ux-considerations"/>
    <w:p>
      <w:pPr>
        <w:pStyle w:val="Heading2"/>
      </w:pPr>
      <w:r>
        <w:t xml:space="preserve">Frontend and UX Considerations</w:t>
      </w:r>
    </w:p>
    <w:p>
      <w:pPr>
        <w:pStyle w:val="FirstParagraph"/>
      </w:pPr>
      <w:r>
        <w:t xml:space="preserve">The platform’s frontend consists of a</w:t>
      </w:r>
      <w:r>
        <w:t xml:space="preserve"> </w:t>
      </w:r>
      <w:r>
        <w:rPr>
          <w:b/>
          <w:bCs/>
        </w:rPr>
        <w:t xml:space="preserve">web portal (Next.js)</w:t>
      </w:r>
      <w:r>
        <w:t xml:space="preserve"> </w:t>
      </w:r>
      <w:r>
        <w:t xml:space="preserve">and a</w:t>
      </w:r>
      <w:r>
        <w:t xml:space="preserve"> </w:t>
      </w:r>
      <w:r>
        <w:rPr>
          <w:b/>
          <w:bCs/>
        </w:rPr>
        <w:t xml:space="preserve">mobile app (React Native)</w:t>
      </w:r>
      <w:r>
        <w:t xml:space="preserve">, providing a seamless experience to both office-based purchasers and crew or port-side agents who may use mobile devices. We focus on responsive, efficient search interactions and offline capabilities.</w:t>
      </w:r>
    </w:p>
    <w:p>
      <w:pPr>
        <w:pStyle w:val="BodyText"/>
      </w:pPr>
      <w:r>
        <w:rPr>
          <w:b/>
          <w:bCs/>
        </w:rPr>
        <w:t xml:space="preserve">Web Frontend (Next.js):</w:t>
      </w:r>
      <w:r>
        <w:t xml:space="preserve"> </w:t>
      </w:r>
      <w:r>
        <w:t xml:space="preserve">We use</w:t>
      </w:r>
      <w:r>
        <w:t xml:space="preserve"> </w:t>
      </w:r>
      <w:r>
        <w:rPr>
          <w:b/>
          <w:bCs/>
        </w:rPr>
        <w:t xml:space="preserve">Next.js 14+</w:t>
      </w:r>
      <w:r>
        <w:t xml:space="preserve"> </w:t>
      </w:r>
      <w:r>
        <w:t xml:space="preserve">with the App Router for the web application</w:t>
      </w:r>
      <w:hyperlink r:id="rId60">
        <w:r>
          <w:rPr>
            <w:rStyle w:val="Hyperlink"/>
          </w:rPr>
          <w:t xml:space="preserve">[32]</w:t>
        </w:r>
      </w:hyperlink>
      <w:r>
        <w:t xml:space="preserve">. This gives us server-side rendering (useful if any part of the catalog is public or for SEO, though much of it might be behind login) and a performant React framework. The web UI will include features like a Catalog search page (with search bar, filters sidebar for categories, etc.), a Product detail page, and an Import UI for admins. We utilize a component library (shadcn/UI + Tailwind as noted in tech stack) for rapid development</w:t>
      </w:r>
      <w:hyperlink r:id="rId60">
        <w:r>
          <w:rPr>
            <w:rStyle w:val="Hyperlink"/>
          </w:rPr>
          <w:t xml:space="preserve">[32]</w:t>
        </w:r>
      </w:hyperlink>
      <w:r>
        <w:t xml:space="preserve">. The Next.js app communicates with the backend via the REST API endpoints described. We will implement</w:t>
      </w:r>
      <w:r>
        <w:t xml:space="preserve"> </w:t>
      </w:r>
      <w:r>
        <w:rPr>
          <w:b/>
          <w:bCs/>
        </w:rPr>
        <w:t xml:space="preserve">client-side caching</w:t>
      </w:r>
      <w:r>
        <w:t xml:space="preserve"> </w:t>
      </w:r>
      <w:r>
        <w:t xml:space="preserve">(possibly using React Query or SWR) so that, for example, if a user searches and then views a product and goes back, the results are not refetched unnecessarily. Debounce is applied to search inputs – e.g. wait ~300ms after the user stops typing to call the suggestions API, to reduce chatter. The suggestions from</w:t>
      </w:r>
      <w:r>
        <w:t xml:space="preserve"> </w:t>
      </w:r>
      <w:r>
        <w:rPr>
          <w:rStyle w:val="VerbatimChar"/>
        </w:rPr>
        <w:t xml:space="preserve">/catalog/suggestions</w:t>
      </w:r>
      <w:r>
        <w:t xml:space="preserve"> </w:t>
      </w:r>
      <w:r>
        <w:t xml:space="preserve">will be shown in a dropdown as they type, making the search experience fluid.</w:t>
      </w:r>
    </w:p>
    <w:p>
      <w:pPr>
        <w:pStyle w:val="BodyText"/>
      </w:pPr>
      <w:r>
        <w:t xml:space="preserve">When viewing a requisition processing result, the web UI might use a polling mechanism or a WebSocket to get the results when ready. Given NestJS supports WebSockets natively and our stack includes Socket.io for real-time features</w:t>
      </w:r>
      <w:hyperlink r:id="rId61">
        <w:r>
          <w:rPr>
            <w:rStyle w:val="Hyperlink"/>
          </w:rPr>
          <w:t xml:space="preserve">[33]</w:t>
        </w:r>
      </w:hyperlink>
      <w:r>
        <w:t xml:space="preserve">, we can push a notification to the UI as soon as the document pipeline completes, to alert the user that the requisition has been processed.</w:t>
      </w:r>
    </w:p>
    <w:p>
      <w:pPr>
        <w:pStyle w:val="BodyText"/>
      </w:pPr>
      <w:r>
        <w:rPr>
          <w:b/>
          <w:bCs/>
        </w:rPr>
        <w:t xml:space="preserve">Mobile App (React Native):</w:t>
      </w:r>
      <w:r>
        <w:t xml:space="preserve"> </w:t>
      </w:r>
      <w:r>
        <w:t xml:space="preserve">The mobile client is built with React Native (using Expo managed workflow)</w:t>
      </w:r>
      <w:hyperlink r:id="rId60">
        <w:r>
          <w:rPr>
            <w:rStyle w:val="Hyperlink"/>
          </w:rPr>
          <w:t xml:space="preserve">[32]</w:t>
        </w:r>
      </w:hyperlink>
      <w:hyperlink r:id="rId62">
        <w:r>
          <w:rPr>
            <w:rStyle w:val="Hyperlink"/>
          </w:rPr>
          <w:t xml:space="preserve">[34]</w:t>
        </w:r>
      </w:hyperlink>
      <w:r>
        <w:t xml:space="preserve">. This allows us to share a portion of the codebase with the web (particularly utility functions, API client code, and maybe some UI components via a design system). The mobile app targets use cases like a ship’s crew or a port staff creating or reviewing orders on the go, often with</w:t>
      </w:r>
      <w:r>
        <w:t xml:space="preserve"> </w:t>
      </w:r>
      <w:r>
        <w:rPr>
          <w:b/>
          <w:bCs/>
        </w:rPr>
        <w:t xml:space="preserve">intermittent connectivity</w:t>
      </w:r>
      <w:r>
        <w:t xml:space="preserve">. Therefore, an</w:t>
      </w:r>
      <w:r>
        <w:t xml:space="preserve"> </w:t>
      </w:r>
      <w:r>
        <w:rPr>
          <w:b/>
          <w:bCs/>
        </w:rPr>
        <w:t xml:space="preserve">offline-first strategy</w:t>
      </w:r>
      <w:r>
        <w:t xml:space="preserve"> </w:t>
      </w:r>
      <w:r>
        <w:t xml:space="preserve">is crucial</w:t>
      </w:r>
      <w:hyperlink r:id="rId62">
        <w:r>
          <w:rPr>
            <w:rStyle w:val="Hyperlink"/>
          </w:rPr>
          <w:t xml:space="preserve">[34]</w:t>
        </w:r>
      </w:hyperlink>
      <w:r>
        <w:t xml:space="preserve">. We embed a lightweight</w:t>
      </w:r>
      <w:r>
        <w:t xml:space="preserve"> </w:t>
      </w:r>
      <w:r>
        <w:rPr>
          <w:b/>
          <w:bCs/>
        </w:rPr>
        <w:t xml:space="preserve">SQLite database</w:t>
      </w:r>
      <w:r>
        <w:t xml:space="preserve"> </w:t>
      </w:r>
      <w:r>
        <w:t xml:space="preserve">on the device to cache key data (especially the product catalog subset). On first launch or when online, the app will download the catalog (or at least frequently used parts of it – maybe all 50k items if feasible, or at least indexes) and store it locally. This way, search can still function offline using the local data (we might integrate a small full-text search on device or simply do prefix matching). For example, a chief officer on a ship with no internet could still search the catalog for “hand lamp” and find the item (from cached data) to add to a requisition. When connectivity is restored, the app syncs any new requisitions or changes to the server.</w:t>
      </w:r>
    </w:p>
    <w:p>
      <w:pPr>
        <w:pStyle w:val="BodyText"/>
      </w:pPr>
      <w:r>
        <w:t xml:space="preserve">We implement</w:t>
      </w:r>
      <w:r>
        <w:t xml:space="preserve"> </w:t>
      </w:r>
      <w:r>
        <w:rPr>
          <w:b/>
          <w:bCs/>
        </w:rPr>
        <w:t xml:space="preserve">data synchronization</w:t>
      </w:r>
      <w:r>
        <w:t xml:space="preserve"> </w:t>
      </w:r>
      <w:r>
        <w:t xml:space="preserve">on mobile: using libraries like WatermelonDB or Hasura Sync or a custom solution where we track last-updated timestamps. The mobile will periodically pull down any catalog updates (though IMPA updates are infrequent, we might only need to sync if there were local custom products or stock info changes). For user-generated data (like a requisition created offline), we queue it in the app and push to backend when online. This ensures no data loss and a smooth offline experience.</w:t>
      </w:r>
    </w:p>
    <w:p>
      <w:pPr>
        <w:pStyle w:val="BodyText"/>
      </w:pPr>
      <w:r>
        <w:rPr>
          <w:b/>
          <w:bCs/>
        </w:rPr>
        <w:t xml:space="preserve">Search UX on mobile/web:</w:t>
      </w:r>
      <w:r>
        <w:t xml:space="preserve"> </w:t>
      </w:r>
      <w:r>
        <w:t xml:space="preserve">Both platforms will have a prominent search bar for the catalog. The web can show instantaneous results in a dropdown (with highlight of matching text, etc.), while mobile might navigate to a search results screen after the user submits (due to smaller screen constraints). We use</w:t>
      </w:r>
      <w:r>
        <w:t xml:space="preserve"> </w:t>
      </w:r>
      <w:r>
        <w:rPr>
          <w:b/>
          <w:bCs/>
        </w:rPr>
        <w:t xml:space="preserve">autocomplete suggestions</w:t>
      </w:r>
      <w:r>
        <w:t xml:space="preserve"> </w:t>
      </w:r>
      <w:r>
        <w:t xml:space="preserve">to guide input (via</w:t>
      </w:r>
      <w:r>
        <w:t xml:space="preserve"> </w:t>
      </w:r>
      <w:r>
        <w:rPr>
          <w:rStyle w:val="VerbatimChar"/>
        </w:rPr>
        <w:t xml:space="preserve">/suggestions</w:t>
      </w:r>
      <w:r>
        <w:t xml:space="preserve"> </w:t>
      </w:r>
      <w:r>
        <w:t xml:space="preserve">API as described). We also provide scanning capabilities – e.g., scanning a QR or barcode if items have them (future enhancement), or scanning a printed IMPA code list to auto-fill (since some older processes might involve printed catalogs).</w:t>
      </w:r>
    </w:p>
    <w:p>
      <w:pPr>
        <w:pStyle w:val="BodyText"/>
      </w:pPr>
      <w:r>
        <w:rPr>
          <w:b/>
          <w:bCs/>
        </w:rPr>
        <w:t xml:space="preserve">Displaying confidence and suggestions:</w:t>
      </w:r>
      <w:r>
        <w:t xml:space="preserve"> </w:t>
      </w:r>
      <w:r>
        <w:t xml:space="preserve">In the requisition processing UI (web, possibly tablet), when the system suggests matches, we display a confidence indicator. For instance, a match with 98% confidence might have a green check icon, whereas 85% might have an amber warning icon. Users can click on a line to see alternate suggestions (the top 3 candidates) if they doubt the match. This transparency helps build trust in the AI and makes the human oversight efficient (they focus only where needed).</w:t>
      </w:r>
    </w:p>
    <w:p>
      <w:pPr>
        <w:pStyle w:val="BodyText"/>
      </w:pPr>
      <w:r>
        <w:t xml:space="preserve">The mobile app, being used in low-connectivity scenarios, will also have an</w:t>
      </w:r>
      <w:r>
        <w:t xml:space="preserve"> </w:t>
      </w:r>
      <w:r>
        <w:rPr>
          <w:b/>
          <w:bCs/>
        </w:rPr>
        <w:t xml:space="preserve">“offline mode” indicator and sync status</w:t>
      </w:r>
      <w:r>
        <w:t xml:space="preserve"> </w:t>
      </w:r>
      <w:r>
        <w:t xml:space="preserve">so users know when data is stale or when a sync is pending. We also implement</w:t>
      </w:r>
      <w:r>
        <w:t xml:space="preserve"> </w:t>
      </w:r>
      <w:r>
        <w:rPr>
          <w:b/>
          <w:bCs/>
        </w:rPr>
        <w:t xml:space="preserve">optimistic UI</w:t>
      </w:r>
      <w:r>
        <w:t xml:space="preserve"> </w:t>
      </w:r>
      <w:r>
        <w:t xml:space="preserve">– for example, if a user creates a requisition offline, it will appear in their app immediately (marked as “Pending Sync”), and once connectivity returns and the server acknowledges it, it becomes a normal confirmed requisition.</w:t>
      </w:r>
    </w:p>
    <w:p>
      <w:pPr>
        <w:pStyle w:val="BodyText"/>
      </w:pPr>
      <w:r>
        <w:t xml:space="preserve">Finally, the frontend will follow general best practices: using</w:t>
      </w:r>
      <w:r>
        <w:t xml:space="preserve"> </w:t>
      </w:r>
      <w:r>
        <w:rPr>
          <w:b/>
          <w:bCs/>
        </w:rPr>
        <w:t xml:space="preserve">debounce</w:t>
      </w:r>
      <w:r>
        <w:t xml:space="preserve"> </w:t>
      </w:r>
      <w:r>
        <w:t xml:space="preserve">and background syncing to avoid spamming the network, caching static content like the category list, and using secure storage for any credentials (especially on mobile). The unified tech stack (React/TypeScript on both frontends and backend) ensures consistent data models and reduces friction in development.</w:t>
      </w:r>
    </w:p>
    <w:bookmarkEnd w:id="63"/>
    <w:bookmarkStart w:id="69" w:name="key-architectural-decisions-adrs"/>
    <w:p>
      <w:pPr>
        <w:pStyle w:val="Heading2"/>
      </w:pPr>
      <w:r>
        <w:t xml:space="preserve">Key Architectural Decisions (ADRs)</w:t>
      </w:r>
    </w:p>
    <w:p>
      <w:pPr>
        <w:pStyle w:val="FirstParagraph"/>
      </w:pPr>
      <w:r>
        <w:t xml:space="preserve">Architectural decisions have been carefully considered. We document them as ADRs to explain the rationale behind key choices:</w:t>
      </w:r>
    </w:p>
    <w:bookmarkStart w:id="64" w:name="Xedd86164ba040e9008b448ad3118457d97906bc"/>
    <w:p>
      <w:pPr>
        <w:pStyle w:val="Heading3"/>
      </w:pPr>
      <w:r>
        <w:t xml:space="preserve">ADR: Modular Monolith vs. Microservices for Initial Architecture</w:t>
      </w:r>
    </w:p>
    <w:p>
      <w:pPr>
        <w:pStyle w:val="FirstParagraph"/>
      </w:pPr>
      <w:r>
        <w:rPr>
          <w:b/>
          <w:bCs/>
        </w:rPr>
        <w:t xml:space="preserve">Context:</w:t>
      </w:r>
      <w:r>
        <w:t xml:space="preserve"> </w:t>
      </w:r>
      <w:r>
        <w:t xml:space="preserve">We need to decide whether to build the backend as a single deployable (monolith) or break it into multiple microservices aligned with different domains (catalog service, search service, etc.). Microservices promise better isolation and independent scaling, but add complexity in orchestration, especially for a small team and early-stage product.</w:t>
      </w:r>
    </w:p>
    <w:p>
      <w:pPr>
        <w:pStyle w:val="BodyText"/>
      </w:pPr>
      <w:r>
        <w:rPr>
          <w:b/>
          <w:bCs/>
        </w:rPr>
        <w:t xml:space="preserve">Decision:</w:t>
      </w:r>
      <w:r>
        <w:t xml:space="preserve"> </w:t>
      </w:r>
      <w:r>
        <w:t xml:space="preserve">We chose to start with a</w:t>
      </w:r>
      <w:r>
        <w:t xml:space="preserve"> </w:t>
      </w:r>
      <w:r>
        <w:rPr>
          <w:b/>
          <w:bCs/>
        </w:rPr>
        <w:t xml:space="preserve">Modular Monolith</w:t>
      </w:r>
      <w:r>
        <w:t xml:space="preserve"> </w:t>
      </w:r>
      <w:r>
        <w:t xml:space="preserve">using NestJS. All core functions (catalog management, search integration, requisition processing, orders, etc.) run in one codebase and process, structured by modules for clarity. We defer breaking it into microservices until the platform’s scale and team size justify it.</w:t>
      </w:r>
    </w:p>
    <w:p>
      <w:pPr>
        <w:pStyle w:val="BodyText"/>
      </w:pPr>
      <w:r>
        <w:rPr>
          <w:b/>
          <w:bCs/>
        </w:rPr>
        <w:t xml:space="preserve">Rationale:</w:t>
      </w:r>
      <w:r>
        <w:t xml:space="preserve"> </w:t>
      </w:r>
      <w:r>
        <w:t xml:space="preserve">A modular monolith provides clean separation of concerns in code (thanks to Nest’s module system) without incurring the operational cost of deploying and managing dozens of services. Early on, a monolith significantly</w:t>
      </w:r>
      <w:r>
        <w:t xml:space="preserve"> </w:t>
      </w:r>
      <w:r>
        <w:rPr>
          <w:b/>
          <w:bCs/>
        </w:rPr>
        <w:t xml:space="preserve">reduces complexity and risk</w:t>
      </w:r>
      <w:r>
        <w:t xml:space="preserve"> </w:t>
      </w:r>
      <w:r>
        <w:t xml:space="preserve">– it avoids issues of distributed transactions, inter-service network failures, and duplicate infrastructure that often plague premature microservice architectures. In B2B platforms, jumping into microservices too soon has been identified as a leading cause of failure due to operational overhead</w:t>
      </w:r>
      <w:hyperlink r:id="rId56">
        <w:r>
          <w:rPr>
            <w:rStyle w:val="Hyperlink"/>
          </w:rPr>
          <w:t xml:space="preserve">[29]</w:t>
        </w:r>
      </w:hyperlink>
      <w:r>
        <w:t xml:space="preserve">. By starting monolithic, we can move faster with simpler debugging and deployment. NestJS natively supports a transition to microservices if needed, so we future-proof by keeping boundaries clear (e.g., the Document Processing worker could later be its own service). But until we truly need independent scaling or have multiple engineering teams working in parallel, the monolith is the</w:t>
      </w:r>
      <w:r>
        <w:t xml:space="preserve"> </w:t>
      </w:r>
      <w:r>
        <w:rPr>
          <w:b/>
          <w:bCs/>
        </w:rPr>
        <w:t xml:space="preserve">YAGNI</w:t>
      </w:r>
      <w:r>
        <w:t xml:space="preserve"> </w:t>
      </w:r>
      <w:r>
        <w:t xml:space="preserve">(“you aren’t gonna need it”) choice. This decision aligns with the principle to avoid over-engineering – focusing on delivering value rapidly in MVP phase. We will reassess this decision at scale (e.g., if certain components saturate resources or if we onboard significantly more developers, we might carve out services at that time).</w:t>
      </w:r>
    </w:p>
    <w:p>
      <w:pPr>
        <w:pStyle w:val="BodyText"/>
      </w:pPr>
      <w:r>
        <w:rPr>
          <w:b/>
          <w:bCs/>
        </w:rPr>
        <w:t xml:space="preserve">Consequences:</w:t>
      </w:r>
      <w:r>
        <w:t xml:space="preserve"> </w:t>
      </w:r>
      <w:r>
        <w:t xml:space="preserve">We get simpler deployment (one artifact, one database). However, we must be disciplined in module separation to not create a big ball of mud. We also size the instance properly since all components share resources. Scaling the monolith means scaling vertically (bigger instances) or simple horizontal cloning behind a load balancer – which is manageable given stateless design. When the time comes to migrate to microservices (likely around the point when features like marketplace, fintech, IoT get added), we will have a clear path since the code is modular. For now, this ADR greatly simplifies our DevOps and accelerates development speed.</w:t>
      </w:r>
    </w:p>
    <w:bookmarkEnd w:id="64"/>
    <w:bookmarkStart w:id="66" w:name="X4e6f1100b2adac84156691ce35525da80617cd9"/>
    <w:p>
      <w:pPr>
        <w:pStyle w:val="Heading3"/>
      </w:pPr>
      <w:r>
        <w:t xml:space="preserve">ADR: Vector Search – pgvector vs. External Vector DB Service</w:t>
      </w:r>
    </w:p>
    <w:p>
      <w:pPr>
        <w:pStyle w:val="FirstParagraph"/>
      </w:pPr>
      <w:r>
        <w:rPr>
          <w:b/>
          <w:bCs/>
        </w:rPr>
        <w:t xml:space="preserve">Context:</w:t>
      </w:r>
      <w:r>
        <w:t xml:space="preserve"> </w:t>
      </w:r>
      <w:r>
        <w:t xml:space="preserve">For semantic product search and matching, we need vector similarity search. Options considered: use the</w:t>
      </w:r>
      <w:r>
        <w:t xml:space="preserve"> </w:t>
      </w:r>
      <w:r>
        <w:rPr>
          <w:rStyle w:val="VerbatimChar"/>
        </w:rPr>
        <w:t xml:space="preserve">pgvector</w:t>
      </w:r>
      <w:r>
        <w:t xml:space="preserve"> </w:t>
      </w:r>
      <w:r>
        <w:t xml:space="preserve">extension within PostgreSQL versus using a specialized external vector database/service (such as Pinecone, Weaviate, or Milvus). External services might offer performance or managed scaling, whereas pgvector keeps everything in one database.</w:t>
      </w:r>
    </w:p>
    <w:p>
      <w:pPr>
        <w:pStyle w:val="BodyText"/>
      </w:pPr>
      <w:r>
        <w:rPr>
          <w:b/>
          <w:bCs/>
        </w:rPr>
        <w:t xml:space="preserve">Decision:</w:t>
      </w:r>
      <w:r>
        <w:t xml:space="preserve"> </w:t>
      </w:r>
      <w:r>
        <w:t xml:space="preserve">We will</w:t>
      </w:r>
      <w:r>
        <w:t xml:space="preserve"> </w:t>
      </w:r>
      <w:r>
        <w:rPr>
          <w:b/>
          <w:bCs/>
        </w:rPr>
        <w:t xml:space="preserve">use pgvector embedded in PostgreSQL</w:t>
      </w:r>
      <w:r>
        <w:t xml:space="preserve"> </w:t>
      </w:r>
      <w:r>
        <w:t xml:space="preserve">to store and query embedding vectors, instead of introducing a separate vector search system. The Postgres database will thus serve both as the system of record and the vector search index.</w:t>
      </w:r>
    </w:p>
    <w:p>
      <w:pPr>
        <w:pStyle w:val="BodyText"/>
      </w:pPr>
      <w:r>
        <w:rPr>
          <w:b/>
          <w:bCs/>
        </w:rPr>
        <w:t xml:space="preserve">Rationale:</w:t>
      </w:r>
      <w:r>
        <w:t xml:space="preserve"> </w:t>
      </w:r>
      <w:r>
        <w:t xml:space="preserve">Using pgvector keeps architecture simple and data unified. With pgvector, our vector data resides alongside the product data in Postgres, ensuring</w:t>
      </w:r>
      <w:r>
        <w:t xml:space="preserve"> </w:t>
      </w:r>
      <w:r>
        <w:rPr>
          <w:b/>
          <w:bCs/>
        </w:rPr>
        <w:t xml:space="preserve">strong consistency</w:t>
      </w:r>
      <w:r>
        <w:t xml:space="preserve"> </w:t>
      </w:r>
      <w:r>
        <w:t xml:space="preserve">(no lag between catalog updates and the search index) and simplifying deployment (no extra database to manage)</w:t>
      </w:r>
      <w:hyperlink r:id="rId42">
        <w:r>
          <w:rPr>
            <w:rStyle w:val="Hyperlink"/>
          </w:rPr>
          <w:t xml:space="preserve">[18]</w:t>
        </w:r>
      </w:hyperlink>
      <w:r>
        <w:t xml:space="preserve">. Modern pgvector supports efficient ANN (Approximate Nearest Neighbor) indexing (HNSW) that can easily handle our scale with low latency</w:t>
      </w:r>
      <w:hyperlink r:id="rId42">
        <w:r>
          <w:rPr>
            <w:rStyle w:val="Hyperlink"/>
          </w:rPr>
          <w:t xml:space="preserve">[18]</w:t>
        </w:r>
      </w:hyperlink>
      <w:r>
        <w:t xml:space="preserve">. Given our catalog size (~50k now, potentially a few hundredk in future), Postgres with pgvector can answer similarity queries in tens of milliseconds</w:t>
      </w:r>
      <w:hyperlink r:id="rId42">
        <w:r>
          <w:rPr>
            <w:rStyle w:val="Hyperlink"/>
          </w:rPr>
          <w:t xml:space="preserve">[18]</w:t>
        </w:r>
      </w:hyperlink>
      <w:r>
        <w:t xml:space="preserve">, which is on par with dedicated solutions but without network overhead. An external vector DB like Pinecone would mean an additional service dependency, network calls for every query, and the complexity of syncing metadata. In fact, others have noted that using a SaaS vector DB can complicate architecture due to needed data synchronization and two-step queries (fetch IDs from vector DB, then data from main DB)</w:t>
      </w:r>
      <w:hyperlink r:id="rId43">
        <w:r>
          <w:rPr>
            <w:rStyle w:val="Hyperlink"/>
          </w:rPr>
          <w:t xml:space="preserve">[19]</w:t>
        </w:r>
      </w:hyperlink>
      <w:r>
        <w:t xml:space="preserve">. By contrast, pgvector allows a</w:t>
      </w:r>
      <w:r>
        <w:t xml:space="preserve"> </w:t>
      </w:r>
      <w:r>
        <w:rPr>
          <w:b/>
          <w:bCs/>
        </w:rPr>
        <w:t xml:space="preserve">single-step query</w:t>
      </w:r>
      <w:r>
        <w:t xml:space="preserve"> </w:t>
      </w:r>
      <w:r>
        <w:t xml:space="preserve">to retrieve the closest items and their data via a SQL join, and avoids issues like metadata size limits imposed by some vector services</w:t>
      </w:r>
      <w:hyperlink r:id="rId65">
        <w:r>
          <w:rPr>
            <w:rStyle w:val="Hyperlink"/>
          </w:rPr>
          <w:t xml:space="preserve">[35]</w:t>
        </w:r>
      </w:hyperlink>
      <w:r>
        <w:t xml:space="preserve">. Cost is another factor: pgvector is open-source and runs on our existing DB instance, whereas Pinecone or similar might incur significant additional fees for hosting vectors – and they were originally geared for billion-vector cases which is overkill for us.</w:t>
      </w:r>
    </w:p>
    <w:p>
      <w:pPr>
        <w:pStyle w:val="BodyText"/>
      </w:pPr>
      <w:r>
        <w:rPr>
          <w:b/>
          <w:bCs/>
        </w:rPr>
        <w:t xml:space="preserve">Alternatives:</w:t>
      </w:r>
      <w:r>
        <w:t xml:space="preserve"> </w:t>
      </w:r>
      <w:r>
        <w:t xml:space="preserve">We considered using an external service for potentially better scaling in the long run or if we needed advanced features like cross-modal search. However, given our current needs, those would be premature optimizations. Another alternative was to not use vector search at all and rely purely on text search, but that would severely limit the platform’s ability to match items intelligently (so it was rejected).</w:t>
      </w:r>
    </w:p>
    <w:p>
      <w:pPr>
        <w:pStyle w:val="BodyText"/>
      </w:pPr>
      <w:r>
        <w:rPr>
          <w:b/>
          <w:bCs/>
        </w:rPr>
        <w:t xml:space="preserve">Consequences:</w:t>
      </w:r>
      <w:r>
        <w:t xml:space="preserve"> </w:t>
      </w:r>
      <w:r>
        <w:t xml:space="preserve">By using pgvector, we commit to managing vector indices within Postgres – which is fine, but we should be mindful of DB size and memory since embeddings can be large (we will only store necessary embeddings, and at 50k items * 1536 dims * 4 bytes ~ 300MB, which is reasonable). We also need to ensure our DB is configured with enough work_mem for vector operations. If our data eventually scales to tens of millions of vectors or extremely high QPS, we might need to revisit this and possibly offload to a specialized vector service, but that’s unlikely in near term. Overall, this decision yields a</w:t>
      </w:r>
      <w:r>
        <w:t xml:space="preserve"> </w:t>
      </w:r>
      <w:r>
        <w:rPr>
          <w:b/>
          <w:bCs/>
        </w:rPr>
        <w:t xml:space="preserve">simpler, tightly-integrated system</w:t>
      </w:r>
      <w:r>
        <w:t xml:space="preserve"> </w:t>
      </w:r>
      <w:r>
        <w:t xml:space="preserve">that meets performance requirements.</w:t>
      </w:r>
    </w:p>
    <w:bookmarkEnd w:id="66"/>
    <w:bookmarkStart w:id="67" w:name="Xfc07eab3b8e5b4e3788f6b3e18e87c2cb9cc972"/>
    <w:p>
      <w:pPr>
        <w:pStyle w:val="Heading3"/>
      </w:pPr>
      <w:r>
        <w:t xml:space="preserve">ADR: Search Engine Choice – Meilisearch vs. Elasticsearch vs. Postgres FTS</w:t>
      </w:r>
    </w:p>
    <w:p>
      <w:pPr>
        <w:pStyle w:val="FirstParagraph"/>
      </w:pPr>
      <w:r>
        <w:rPr>
          <w:b/>
          <w:bCs/>
        </w:rPr>
        <w:t xml:space="preserve">Context:</w:t>
      </w:r>
      <w:r>
        <w:t xml:space="preserve"> </w:t>
      </w:r>
      <w:r>
        <w:t xml:space="preserve">We need a search solution for product catalog queries that handles typos and provides fast autocomplete and filtering. The options were using</w:t>
      </w:r>
      <w:r>
        <w:t xml:space="preserve"> </w:t>
      </w:r>
      <w:r>
        <w:rPr>
          <w:b/>
          <w:bCs/>
        </w:rPr>
        <w:t xml:space="preserve">Elasticsearch</w:t>
      </w:r>
      <w:r>
        <w:t xml:space="preserve"> </w:t>
      </w:r>
      <w:r>
        <w:t xml:space="preserve">(industry standard for enterprise search),</w:t>
      </w:r>
      <w:r>
        <w:t xml:space="preserve"> </w:t>
      </w:r>
      <w:r>
        <w:rPr>
          <w:b/>
          <w:bCs/>
        </w:rPr>
        <w:t xml:space="preserve">Meilisearch</w:t>
      </w:r>
      <w:r>
        <w:t xml:space="preserve"> </w:t>
      </w:r>
      <w:r>
        <w:t xml:space="preserve">(newer lightweight search engine), or simply using Postgres Full-Text Search (FTS) and trigram indices.</w:t>
      </w:r>
    </w:p>
    <w:p>
      <w:pPr>
        <w:pStyle w:val="BodyText"/>
      </w:pPr>
      <w:r>
        <w:rPr>
          <w:b/>
          <w:bCs/>
        </w:rPr>
        <w:t xml:space="preserve">Decision:</w:t>
      </w:r>
      <w:r>
        <w:t xml:space="preserve"> </w:t>
      </w:r>
      <w:r>
        <w:rPr>
          <w:b/>
          <w:bCs/>
        </w:rPr>
        <w:t xml:space="preserve">Meilisearch</w:t>
      </w:r>
      <w:r>
        <w:t xml:space="preserve"> </w:t>
      </w:r>
      <w:r>
        <w:t xml:space="preserve">is selected as our dedicated search engine for the catalog, in preference to Elasticsearch or pure Postgres FTS.</w:t>
      </w:r>
    </w:p>
    <w:p>
      <w:pPr>
        <w:pStyle w:val="BodyText"/>
      </w:pPr>
      <w:r>
        <w:rPr>
          <w:b/>
          <w:bCs/>
        </w:rPr>
        <w:t xml:space="preserve">Rationale:</w:t>
      </w:r>
      <w:r>
        <w:t xml:space="preserve"> </w:t>
      </w:r>
      <w:r>
        <w:t xml:space="preserve">Meilisearch offers an excellent balance of</w:t>
      </w:r>
      <w:r>
        <w:t xml:space="preserve"> </w:t>
      </w:r>
      <w:r>
        <w:rPr>
          <w:b/>
          <w:bCs/>
        </w:rPr>
        <w:t xml:space="preserve">speed, relevance, and ease of use</w:t>
      </w:r>
      <w:r>
        <w:t xml:space="preserve"> </w:t>
      </w:r>
      <w:r>
        <w:t xml:space="preserve">for our use case. It is built for instant search with typo tolerance out-of-the-box, which means less manual tuning. According to our research, Meili delivers sub-50ms query responses even on modest hardware</w:t>
      </w:r>
      <w:hyperlink r:id="rId40">
        <w:r>
          <w:rPr>
            <w:rStyle w:val="Hyperlink"/>
          </w:rPr>
          <w:t xml:space="preserve">[16]</w:t>
        </w:r>
      </w:hyperlink>
      <w:r>
        <w:t xml:space="preserve"> </w:t>
      </w:r>
      <w:r>
        <w:t xml:space="preserve">and can be set up in minutes (whereas Elasticsearch would take significant time to configure clusters, analyzers, etc.)</w:t>
      </w:r>
      <w:hyperlink r:id="rId40">
        <w:r>
          <w:rPr>
            <w:rStyle w:val="Hyperlink"/>
          </w:rPr>
          <w:t xml:space="preserve">[16]</w:t>
        </w:r>
      </w:hyperlink>
      <w:r>
        <w:t xml:space="preserve">. The</w:t>
      </w:r>
      <w:r>
        <w:t xml:space="preserve"> </w:t>
      </w:r>
      <w:r>
        <w:rPr>
          <w:b/>
          <w:bCs/>
        </w:rPr>
        <w:t xml:space="preserve">developer productivity</w:t>
      </w:r>
      <w:r>
        <w:t xml:space="preserve"> </w:t>
      </w:r>
      <w:r>
        <w:t xml:space="preserve">with Meili is higher – schema-less indexing, simple REST API, and easy relevance tweaking through their ranking rules. In contrast, Elasticsearch, while powerful, would be overkill for a 50k–500k record dataset and brings operational complexity (cluster management, memory tuning, etc.). Postgres FTS alone was considered (since we already have Postgres), but while we could use trigram indexes for fuzzy search, it’s not nearly as typo-tolerant or as easy to implement autocomplete. FTS also would bloat our SQL queries and complicate the app logic for ranking. Meili cleanly decouples search concerns and provides features like</w:t>
      </w:r>
      <w:r>
        <w:t xml:space="preserve"> </w:t>
      </w:r>
      <w:r>
        <w:rPr>
          <w:b/>
          <w:bCs/>
        </w:rPr>
        <w:t xml:space="preserve">faceted search</w:t>
      </w:r>
      <w:r>
        <w:t xml:space="preserve"> </w:t>
      </w:r>
      <w:r>
        <w:t xml:space="preserve">natively, which we want</w:t>
      </w:r>
      <w:hyperlink r:id="rId40">
        <w:r>
          <w:rPr>
            <w:rStyle w:val="Hyperlink"/>
          </w:rPr>
          <w:t xml:space="preserve">[16]</w:t>
        </w:r>
      </w:hyperlink>
      <w:r>
        <w:t xml:space="preserve">. Additionally, Meilisearch has been evolving rapidly with support for vector search hybrid models (so it’s future-proof for us to integrate semantic ranking)</w:t>
      </w:r>
      <w:hyperlink r:id="rId41">
        <w:r>
          <w:rPr>
            <w:rStyle w:val="Hyperlink"/>
          </w:rPr>
          <w:t xml:space="preserve">[17]</w:t>
        </w:r>
      </w:hyperlink>
      <w:r>
        <w:t xml:space="preserve">. Community adoption and support for Meili is strong, and it can run easily in a container with low resource usage.</w:t>
      </w:r>
    </w:p>
    <w:p>
      <w:pPr>
        <w:pStyle w:val="BodyText"/>
      </w:pPr>
      <w:r>
        <w:rPr>
          <w:b/>
          <w:bCs/>
        </w:rPr>
        <w:t xml:space="preserve">Consequences:</w:t>
      </w:r>
      <w:r>
        <w:t xml:space="preserve"> </w:t>
      </w:r>
      <w:r>
        <w:t xml:space="preserve">We will maintain a Meilisearch instance (likely a single-node instance to start, which is fine for our scale and can be made highly available with a primary-replica setup if needed). We need to implement data syncing from Postgres to Meili – our plan is to do this via backend logic on data changes (which is straightforward given our monolith can call Meili’s API on create/update/delete). Another consequence is eventual consistency: a new product added might not appear in search results for a second or two until indexed. We accept this minor delay as it’s typical for search systems. We also must secure the Meili instance (it will be behind our API, and we use an API key for server-to-server communication to protect it). Overall, this choice significantly reduces engineering effort while delivering a snappy search experience, which is a central UX goal.</w:t>
      </w:r>
    </w:p>
    <w:bookmarkEnd w:id="67"/>
    <w:bookmarkStart w:id="68" w:name="Xed026a376c37af4d9149a8f69227b87f4e09d51"/>
    <w:p>
      <w:pPr>
        <w:pStyle w:val="Heading3"/>
      </w:pPr>
      <w:r>
        <w:t xml:space="preserve">ADR: Catalog Data Ingestion – Batch Import vs. Direct API Usage</w:t>
      </w:r>
    </w:p>
    <w:p>
      <w:pPr>
        <w:pStyle w:val="FirstParagraph"/>
      </w:pPr>
      <w:r>
        <w:rPr>
          <w:b/>
          <w:bCs/>
        </w:rPr>
        <w:t xml:space="preserve">Context:</w:t>
      </w:r>
      <w:r>
        <w:t xml:space="preserve"> </w:t>
      </w:r>
      <w:r>
        <w:t xml:space="preserve">When integrating the IMPA catalog data, we had to decide how to ingest and keep it updated. The main options: rely on</w:t>
      </w:r>
      <w:r>
        <w:t xml:space="preserve"> </w:t>
      </w:r>
      <w:r>
        <w:rPr>
          <w:b/>
          <w:bCs/>
        </w:rPr>
        <w:t xml:space="preserve">batch CSV/Excel file import</w:t>
      </w:r>
      <w:r>
        <w:t xml:space="preserve"> </w:t>
      </w:r>
      <w:r>
        <w:t xml:space="preserve">(provided biannually by IMPA) versus integrate the</w:t>
      </w:r>
      <w:r>
        <w:t xml:space="preserve"> </w:t>
      </w:r>
      <w:r>
        <w:rPr>
          <w:b/>
          <w:bCs/>
        </w:rPr>
        <w:t xml:space="preserve">MSG live API</w:t>
      </w:r>
      <w:r>
        <w:t xml:space="preserve"> </w:t>
      </w:r>
      <w:r>
        <w:t xml:space="preserve">from the start for real-time data. This also ties into whether imports are done synchronously or via pipeline.</w:t>
      </w:r>
    </w:p>
    <w:p>
      <w:pPr>
        <w:pStyle w:val="BodyText"/>
      </w:pPr>
      <w:r>
        <w:rPr>
          <w:b/>
          <w:bCs/>
        </w:rPr>
        <w:t xml:space="preserve">Decision:</w:t>
      </w:r>
      <w:r>
        <w:t xml:space="preserve"> </w:t>
      </w:r>
      <w:r>
        <w:t xml:space="preserve">Use the</w:t>
      </w:r>
      <w:r>
        <w:t xml:space="preserve"> </w:t>
      </w:r>
      <w:r>
        <w:rPr>
          <w:b/>
          <w:bCs/>
        </w:rPr>
        <w:t xml:space="preserve">CSV/Excel batch import</w:t>
      </w:r>
      <w:r>
        <w:t xml:space="preserve"> </w:t>
      </w:r>
      <w:r>
        <w:t xml:space="preserve">as the primary method for initial data load and periodic updates, processed via a background job pipeline. Introduce the</w:t>
      </w:r>
      <w:r>
        <w:t xml:space="preserve"> </w:t>
      </w:r>
      <w:r>
        <w:rPr>
          <w:b/>
          <w:bCs/>
        </w:rPr>
        <w:t xml:space="preserve">MSG API integration</w:t>
      </w:r>
      <w:r>
        <w:t xml:space="preserve"> </w:t>
      </w:r>
      <w:r>
        <w:t xml:space="preserve">gradually for incremental updates or verifications, rather than as the sole source initially.</w:t>
      </w:r>
    </w:p>
    <w:p>
      <w:pPr>
        <w:pStyle w:val="BodyText"/>
      </w:pPr>
      <w:r>
        <w:rPr>
          <w:b/>
          <w:bCs/>
        </w:rPr>
        <w:t xml:space="preserve">Rationale:</w:t>
      </w:r>
      <w:r>
        <w:t xml:space="preserve"> </w:t>
      </w:r>
      <w:r>
        <w:t xml:space="preserve">The CSV import is a reliable,</w:t>
      </w:r>
      <w:r>
        <w:t xml:space="preserve"> </w:t>
      </w:r>
      <w:r>
        <w:rPr>
          <w:b/>
          <w:bCs/>
        </w:rPr>
        <w:t xml:space="preserve">tried-and-true method</w:t>
      </w:r>
      <w:r>
        <w:t xml:space="preserve"> </w:t>
      </w:r>
      <w:r>
        <w:t xml:space="preserve">that gets all data in one go. Given the platform is new, obtaining the full dataset upfront is crucial – the Data Licence CSV provides exactly that, and it’s updated only twice a year</w:t>
      </w:r>
      <w:hyperlink r:id="rId23">
        <w:r>
          <w:rPr>
            <w:rStyle w:val="Hyperlink"/>
          </w:rPr>
          <w:t xml:space="preserve">[2]</w:t>
        </w:r>
      </w:hyperlink>
      <w:r>
        <w:t xml:space="preserve">, which is manageable. By focusing on the import pipeline, we can guarantee the database is fully populated with all 50k products and we control the timing (e.g., schedule imports right after IMPA releases their updates). The</w:t>
      </w:r>
      <w:r>
        <w:t xml:space="preserve"> </w:t>
      </w:r>
      <w:r>
        <w:rPr>
          <w:b/>
          <w:bCs/>
        </w:rPr>
        <w:t xml:space="preserve">API, while modern, is relatively new (2022 launch)</w:t>
      </w:r>
      <w:hyperlink r:id="rId23">
        <w:r>
          <w:rPr>
            <w:rStyle w:val="Hyperlink"/>
            <w:b/>
            <w:bCs/>
          </w:rPr>
          <w:t xml:space="preserve">[2]</w:t>
        </w:r>
      </w:hyperlink>
      <w:r>
        <w:t xml:space="preserve"> </w:t>
      </w:r>
      <w:r>
        <w:t xml:space="preserve">and would require handling continuous sync logic and potential rate limiting. Relying solely on the API could introduce complexity (e.g., needing to iterate over all codes to pull data, which is essentially reimplementing what the CSV gives). Also, licensing cost considerations: the API might come at a higher tier cost or usage fees, whereas the Data Licence CSV might be a one-time or yearly fee.</w:t>
      </w:r>
    </w:p>
    <w:p>
      <w:pPr>
        <w:pStyle w:val="BodyText"/>
      </w:pPr>
      <w:r>
        <w:t xml:space="preserve">From a technical viewpoint, doing a batch import fits well with our</w:t>
      </w:r>
      <w:r>
        <w:t xml:space="preserve"> </w:t>
      </w:r>
      <w:r>
        <w:rPr>
          <w:b/>
          <w:bCs/>
        </w:rPr>
        <w:t xml:space="preserve">queue-based architecture</w:t>
      </w:r>
      <w:r>
        <w:t xml:space="preserve"> </w:t>
      </w:r>
      <w:r>
        <w:t xml:space="preserve">– we can parse and load the file in chunks asynchronously, ensuring we don’t lock the server handling a massive upload. We explicitly decided that the import should be an async</w:t>
      </w:r>
      <w:r>
        <w:t xml:space="preserve"> </w:t>
      </w:r>
      <w:r>
        <w:rPr>
          <w:b/>
          <w:bCs/>
        </w:rPr>
        <w:t xml:space="preserve">ETL-like pipeline</w:t>
      </w:r>
      <w:r>
        <w:t xml:space="preserve"> </w:t>
      </w:r>
      <w:r>
        <w:t xml:space="preserve">(as captured in the API design returning 202 Accepted). This avoids web timeouts and lets us optimize the DB operations (e.g., using COPY or bulk upserts). The design is idempotent – we can re-import the same file without duplicating records, because we use the IMPA code as a natural key and do conflict upserts. This also simplifies error recovery (we can always truncate and re-import if something goes wrong in testing, given we have the source file).</w:t>
      </w:r>
    </w:p>
    <w:p>
      <w:pPr>
        <w:pStyle w:val="BodyText"/>
      </w:pPr>
      <w:r>
        <w:rPr>
          <w:b/>
          <w:bCs/>
        </w:rPr>
        <w:t xml:space="preserve">Alternative Considered:</w:t>
      </w:r>
      <w:r>
        <w:t xml:space="preserve"> </w:t>
      </w:r>
      <w:r>
        <w:t xml:space="preserve">Using the MSG API to pull all data initially. We thought about having a script call the API for every code (or to get all in pages). This was deemed less efficient and more error-prone (network issues in the middle could leave partial data). Another alternative was to only import partial data and fetch on demand (lazy loading items into our DB when first requested). This was rejected because it would lead to inconsistent search and inability to browse the full catalog offline.</w:t>
      </w:r>
    </w:p>
    <w:p>
      <w:pPr>
        <w:pStyle w:val="BodyText"/>
      </w:pPr>
      <w:r>
        <w:rPr>
          <w:b/>
          <w:bCs/>
        </w:rPr>
        <w:t xml:space="preserve">Consequences:</w:t>
      </w:r>
      <w:r>
        <w:t xml:space="preserve"> </w:t>
      </w:r>
      <w:r>
        <w:t xml:space="preserve">We will set up a mechanism to handle the semi-annual updates – likely storing the current catalog version and comparing when a new file is available. The import job will create logs or reports (e.g., new items added, items changed, etc., possibly generating ADRs or at least records for data lineage). As the platform grows, if we need more real-time updates, we have the API integration ready to fill gaps (for example, if IMPA issues interim changes or if we want to auto-correct descriptions via the API). By designing the import as a pipeline now, we ensure scalability – if a future update includes 5% new items, our pipeline can insert those easily. One thing to manage is the</w:t>
      </w:r>
      <w:r>
        <w:t xml:space="preserve"> </w:t>
      </w:r>
      <w:r>
        <w:rPr>
          <w:b/>
          <w:bCs/>
        </w:rPr>
        <w:t xml:space="preserve">document storage</w:t>
      </w:r>
      <w:r>
        <w:t xml:space="preserve"> </w:t>
      </w:r>
      <w:r>
        <w:t xml:space="preserve">for the import file itself – since it can be large, we stream it line by line to avoid high memory usage, and we don’t persist the file beyond processing unless needed for audit. In summary, this ADR gives us a robust initial dataset and clear process for updates, at the cost of implementing a bit of ETL logic (which we accept as it’s straightforward in our stack).</w:t>
      </w:r>
    </w:p>
    <w:p>
      <w:pPr>
        <w:pStyle w:val="BodyText"/>
      </w:pPr>
      <w:r>
        <w:rPr>
          <w:i/>
          <w:iCs/>
        </w:rPr>
        <w:t xml:space="preserve">(We have also implicitly decided to store attachments in an external store vs in the DB, as mentioned earlier – the rationale is similar to the above: better performance and scalability. That decision, while not fully written as a separate ADR, follows from our overall approach to document storage in the pipeline design.)</w:t>
      </w:r>
    </w:p>
    <w:bookmarkEnd w:id="68"/>
    <w:bookmarkEnd w:id="69"/>
    <w:bookmarkStart w:id="72" w:name="summary-of-best-practices-and-conclusion"/>
    <w:p>
      <w:pPr>
        <w:pStyle w:val="Heading2"/>
      </w:pPr>
      <w:r>
        <w:t xml:space="preserve">Summary of Best Practices and Conclusion</w:t>
      </w:r>
    </w:p>
    <w:p>
      <w:pPr>
        <w:pStyle w:val="FirstParagraph"/>
      </w:pPr>
      <w:r>
        <w:t xml:space="preserve">In designing the product catalog subsystem, we have adhered to several best practices to ensure the system is robust, scalable, and maintainable:</w:t>
      </w:r>
    </w:p>
    <w:p>
      <w:pPr>
        <w:pStyle w:val="Compact"/>
        <w:numPr>
          <w:ilvl w:val="0"/>
          <w:numId w:val="1005"/>
        </w:numPr>
      </w:pPr>
      <w:r>
        <w:rPr>
          <w:b/>
          <w:bCs/>
        </w:rPr>
        <w:t xml:space="preserve">Industry Standard Data</w:t>
      </w:r>
      <w:r>
        <w:t xml:space="preserve"> </w:t>
      </w:r>
      <w:r>
        <w:t xml:space="preserve">– We built the catalog on</w:t>
      </w:r>
      <w:r>
        <w:t xml:space="preserve"> </w:t>
      </w:r>
      <w:r>
        <w:rPr>
          <w:b/>
          <w:bCs/>
        </w:rPr>
        <w:t xml:space="preserve">IMPA/ISSA codes</w:t>
      </w:r>
      <w:r>
        <w:t xml:space="preserve"> </w:t>
      </w:r>
      <w:r>
        <w:t xml:space="preserve">as a single source of truth, guaranteeing interoperability and consistency across the maritime industry</w:t>
      </w:r>
      <w:hyperlink r:id="rId22">
        <w:r>
          <w:rPr>
            <w:rStyle w:val="Hyperlink"/>
          </w:rPr>
          <w:t xml:space="preserve">[1]</w:t>
        </w:r>
      </w:hyperlink>
      <w:hyperlink r:id="rId23">
        <w:r>
          <w:rPr>
            <w:rStyle w:val="Hyperlink"/>
          </w:rPr>
          <w:t xml:space="preserve">[2]</w:t>
        </w:r>
      </w:hyperlink>
      <w:r>
        <w:t xml:space="preserve">. This standardization greatly simplifies matching and communication with buyers/suppliers.</w:t>
      </w:r>
    </w:p>
    <w:p>
      <w:pPr>
        <w:pStyle w:val="Compact"/>
        <w:numPr>
          <w:ilvl w:val="0"/>
          <w:numId w:val="1005"/>
        </w:numPr>
      </w:pPr>
      <w:r>
        <w:rPr>
          <w:b/>
          <w:bCs/>
        </w:rPr>
        <w:t xml:space="preserve">Modular Monolith Architecture</w:t>
      </w:r>
      <w:r>
        <w:t xml:space="preserve"> </w:t>
      </w:r>
      <w:r>
        <w:t xml:space="preserve">– Chosen to speed up development while keeping the door open for future microservices. This avoids premature complexity and focuses our efforts on core features first</w:t>
      </w:r>
      <w:hyperlink r:id="rId56">
        <w:r>
          <w:rPr>
            <w:rStyle w:val="Hyperlink"/>
          </w:rPr>
          <w:t xml:space="preserve">[29]</w:t>
        </w:r>
      </w:hyperlink>
      <w:r>
        <w:t xml:space="preserve">. It also ensures type-safe integration between components (thanks to NestJS) and easy sharing of models.</w:t>
      </w:r>
    </w:p>
    <w:p>
      <w:pPr>
        <w:pStyle w:val="Compact"/>
        <w:numPr>
          <w:ilvl w:val="0"/>
          <w:numId w:val="1005"/>
        </w:numPr>
      </w:pPr>
      <w:r>
        <w:rPr>
          <w:b/>
          <w:bCs/>
        </w:rPr>
        <w:t xml:space="preserve">Postgres as the Unified Data Store</w:t>
      </w:r>
      <w:r>
        <w:t xml:space="preserve"> </w:t>
      </w:r>
      <w:r>
        <w:t xml:space="preserve">– Using PostgreSQL for both operational data and vector search means fewer moving parts. Extensions like</w:t>
      </w:r>
      <w:r>
        <w:t xml:space="preserve"> </w:t>
      </w:r>
      <w:r>
        <w:rPr>
          <w:b/>
          <w:bCs/>
        </w:rPr>
        <w:t xml:space="preserve">pgvector</w:t>
      </w:r>
      <w:r>
        <w:t xml:space="preserve"> </w:t>
      </w:r>
      <w:r>
        <w:t xml:space="preserve">give us advanced capabilities (semantic search) without separate infrastructure</w:t>
      </w:r>
      <w:hyperlink r:id="rId42">
        <w:r>
          <w:rPr>
            <w:rStyle w:val="Hyperlink"/>
          </w:rPr>
          <w:t xml:space="preserve">[18]</w:t>
        </w:r>
      </w:hyperlink>
      <w:r>
        <w:t xml:space="preserve">. We also leverage Postgres features for security (row-level security could be used if multi-tenant), and consistency (all writes in one DB transactionally).</w:t>
      </w:r>
    </w:p>
    <w:p>
      <w:pPr>
        <w:pStyle w:val="Compact"/>
        <w:numPr>
          <w:ilvl w:val="0"/>
          <w:numId w:val="1005"/>
        </w:numPr>
      </w:pPr>
      <w:r>
        <w:rPr>
          <w:b/>
          <w:bCs/>
        </w:rPr>
        <w:t xml:space="preserve">Dedicated Search Service</w:t>
      </w:r>
      <w:r>
        <w:t xml:space="preserve"> </w:t>
      </w:r>
      <w:r>
        <w:t xml:space="preserve">– We introduced</w:t>
      </w:r>
      <w:r>
        <w:t xml:space="preserve"> </w:t>
      </w:r>
      <w:r>
        <w:rPr>
          <w:b/>
          <w:bCs/>
        </w:rPr>
        <w:t xml:space="preserve">Meilisearch</w:t>
      </w:r>
      <w:r>
        <w:t xml:space="preserve"> </w:t>
      </w:r>
      <w:r>
        <w:t xml:space="preserve">for user-facing queries to provide a snappy, typo-tolerant search experience with minimal fuss</w:t>
      </w:r>
      <w:hyperlink r:id="rId40">
        <w:r>
          <w:rPr>
            <w:rStyle w:val="Hyperlink"/>
          </w:rPr>
          <w:t xml:space="preserve">[16]</w:t>
        </w:r>
      </w:hyperlink>
      <w:r>
        <w:t xml:space="preserve">. This decoupling of search load from the primary DB follows best practice for scaling read-heavy, fuzzy queries.</w:t>
      </w:r>
    </w:p>
    <w:p>
      <w:pPr>
        <w:pStyle w:val="Compact"/>
        <w:numPr>
          <w:ilvl w:val="0"/>
          <w:numId w:val="1005"/>
        </w:numPr>
      </w:pPr>
      <w:r>
        <w:rPr>
          <w:b/>
          <w:bCs/>
        </w:rPr>
        <w:t xml:space="preserve">Asynchronous Processing</w:t>
      </w:r>
      <w:r>
        <w:t xml:space="preserve"> </w:t>
      </w:r>
      <w:r>
        <w:t xml:space="preserve">– Heavy or time-consuming tasks (file parsing, bulk imports, LLM calls) are all done asynchronously via</w:t>
      </w:r>
      <w:r>
        <w:t xml:space="preserve"> </w:t>
      </w:r>
      <w:r>
        <w:rPr>
          <w:b/>
          <w:bCs/>
        </w:rPr>
        <w:t xml:space="preserve">BullMQ queues</w:t>
      </w:r>
      <w:r>
        <w:t xml:space="preserve">, which is crucial for performance and user experience. This design keeps the API responsive and can be scaled by adding more worker nodes without changing core logic.</w:t>
      </w:r>
    </w:p>
    <w:p>
      <w:pPr>
        <w:pStyle w:val="Compact"/>
        <w:numPr>
          <w:ilvl w:val="0"/>
          <w:numId w:val="1005"/>
        </w:numPr>
      </w:pPr>
      <w:r>
        <w:rPr>
          <w:b/>
          <w:bCs/>
        </w:rPr>
        <w:t xml:space="preserve">Document AI &amp; Human-in-the-Loop</w:t>
      </w:r>
      <w:r>
        <w:t xml:space="preserve"> </w:t>
      </w:r>
      <w:r>
        <w:t xml:space="preserve">– We integrated state-of-the-art AI services (Azure Form Recognizer, GPT-4/Claude) to automate document processing</w:t>
      </w:r>
      <w:hyperlink r:id="rId70">
        <w:r>
          <w:rPr>
            <w:rStyle w:val="Hyperlink"/>
          </w:rPr>
          <w:t xml:space="preserve">[36]</w:t>
        </w:r>
      </w:hyperlink>
      <w:r>
        <w:t xml:space="preserve">, but we also included human verification for low-confidence cases</w:t>
      </w:r>
      <w:hyperlink r:id="rId50">
        <w:r>
          <w:rPr>
            <w:rStyle w:val="Hyperlink"/>
          </w:rPr>
          <w:t xml:space="preserve">[25]</w:t>
        </w:r>
      </w:hyperlink>
      <w:r>
        <w:t xml:space="preserve">. This best practice ensures high accuracy and builds trust in the AI suggestions, while dramatically reducing manual data entry efforts.</w:t>
      </w:r>
    </w:p>
    <w:p>
      <w:pPr>
        <w:pStyle w:val="Compact"/>
        <w:numPr>
          <w:ilvl w:val="0"/>
          <w:numId w:val="1005"/>
        </w:numPr>
      </w:pPr>
      <w:r>
        <w:rPr>
          <w:b/>
          <w:bCs/>
        </w:rPr>
        <w:t xml:space="preserve">Offline-First and Resilience</w:t>
      </w:r>
      <w:r>
        <w:t xml:space="preserve"> </w:t>
      </w:r>
      <w:r>
        <w:t xml:space="preserve">– Recognizing the maritime context (limited connectivity at sea), the mobile app is designed offline-first with local caching and sync</w:t>
      </w:r>
      <w:hyperlink r:id="rId62">
        <w:r>
          <w:rPr>
            <w:rStyle w:val="Hyperlink"/>
          </w:rPr>
          <w:t xml:space="preserve">[34]</w:t>
        </w:r>
      </w:hyperlink>
      <w:r>
        <w:t xml:space="preserve">. This ensures continuity of operations. We also designed for failure by adding retries (for AI calls) and the ability to manually intervene if automation fails, making the system resilient to external service issues.</w:t>
      </w:r>
    </w:p>
    <w:p>
      <w:pPr>
        <w:pStyle w:val="Compact"/>
        <w:numPr>
          <w:ilvl w:val="0"/>
          <w:numId w:val="1005"/>
        </w:numPr>
      </w:pPr>
      <w:r>
        <w:rPr>
          <w:b/>
          <w:bCs/>
        </w:rPr>
        <w:t xml:space="preserve">API-First Design</w:t>
      </w:r>
      <w:r>
        <w:t xml:space="preserve"> </w:t>
      </w:r>
      <w:r>
        <w:t xml:space="preserve">– All functionality is exposed via clean APIs (documented in OpenAPI), making the system</w:t>
      </w:r>
      <w:r>
        <w:t xml:space="preserve"> </w:t>
      </w:r>
      <w:r>
        <w:rPr>
          <w:b/>
          <w:bCs/>
        </w:rPr>
        <w:t xml:space="preserve">headless</w:t>
      </w:r>
      <w:r>
        <w:t xml:space="preserve"> </w:t>
      </w:r>
      <w:r>
        <w:t xml:space="preserve">and easily integrable. This aligns with modern composable architecture principles (MACH: Microservices, API-first, Cloud-native, Headless)</w:t>
      </w:r>
      <w:hyperlink r:id="rId71">
        <w:r>
          <w:rPr>
            <w:rStyle w:val="Hyperlink"/>
          </w:rPr>
          <w:t xml:space="preserve">[37]</w:t>
        </w:r>
      </w:hyperlink>
      <w:r>
        <w:t xml:space="preserve">. Even internal components (like the document processor) communicate via APIs/queues, fostering a loosely coupled design.</w:t>
      </w:r>
    </w:p>
    <w:p>
      <w:pPr>
        <w:pStyle w:val="Compact"/>
        <w:numPr>
          <w:ilvl w:val="0"/>
          <w:numId w:val="1005"/>
        </w:numPr>
      </w:pPr>
      <w:r>
        <w:rPr>
          <w:b/>
          <w:bCs/>
        </w:rPr>
        <w:t xml:space="preserve">Security and Compliance</w:t>
      </w:r>
      <w:r>
        <w:t xml:space="preserve"> </w:t>
      </w:r>
      <w:r>
        <w:t xml:space="preserve">– Although not explicitly detailed above, we follow best practices like using HTTPS everywhere, JWT or OAuth2 for auth, role-based access for admin functions, and storing sensitive credentials (API keys for Azure/OpenAI, etc.) securely. The choice of AWS Mumbai region ensures data locality in compliance with regulations</w:t>
      </w:r>
      <w:hyperlink r:id="rId57">
        <w:r>
          <w:rPr>
            <w:rStyle w:val="Hyperlink"/>
          </w:rPr>
          <w:t xml:space="preserve">[38]</w:t>
        </w:r>
      </w:hyperlink>
      <w:r>
        <w:t xml:space="preserve">. Inventory of Hazardous Materials flags are stored to assist with compliance checks easily.</w:t>
      </w:r>
    </w:p>
    <w:p>
      <w:pPr>
        <w:pStyle w:val="FirstParagraph"/>
      </w:pPr>
      <w:r>
        <w:t xml:space="preserve">In conclusion, the Product Catalog architecture combines proven technologies with modern AI enhancements to deliver a powerful backbone for the chandlery platform. By leveraging standard codes (IMPA/ISSA) and robust search (Meilisearch + pgvector), we ensure that users can find the right products quickly and accurately. The integration of a document AI pipeline showcases innovation in automating legacy processes and will be a key differentiator, turning what was once a tedious task into a quick, semi-automated workflow. Moreover, our design choices – from the modular monolith approach to using existing cloud services – optimize for</w:t>
      </w:r>
      <w:r>
        <w:t xml:space="preserve"> </w:t>
      </w:r>
      <w:r>
        <w:rPr>
          <w:b/>
          <w:bCs/>
        </w:rPr>
        <w:t xml:space="preserve">speed of implementation without sacrificing scalability</w:t>
      </w:r>
      <w:r>
        <w:t xml:space="preserve">. As needs evolve (more data, more users, additional services like procurement marketplace or IoT sensors), this foundation can grow – whether by scaling vertically, adding read replicas, or carving out microservices for search or documents as needed. The emphasis on ADRs ensures that every major decision is justified and captured, which will help onboard new team members and guide future changes coherently. With this architecture in place, the platform is well-prepared to deliver a seamless, intelligent catalog experience to users and to adapt as the business scales.</w:t>
      </w:r>
    </w:p>
    <w:p>
      <w:pPr>
        <w:pStyle w:val="BodyText"/>
      </w:pPr>
      <w:r>
        <w:t xml:space="preserve">Sources:</w:t>
      </w:r>
      <w:r>
        <w:t xml:space="preserve"> </w:t>
      </w:r>
      <w:hyperlink r:id="rId56">
        <w:r>
          <w:rPr>
            <w:rStyle w:val="Hyperlink"/>
          </w:rPr>
          <w:t xml:space="preserve">[29]</w:t>
        </w:r>
      </w:hyperlink>
      <w:hyperlink r:id="rId42">
        <w:r>
          <w:rPr>
            <w:rStyle w:val="Hyperlink"/>
          </w:rPr>
          <w:t xml:space="preserve">[18]</w:t>
        </w:r>
      </w:hyperlink>
      <w:hyperlink r:id="rId40">
        <w:r>
          <w:rPr>
            <w:rStyle w:val="Hyperlink"/>
          </w:rPr>
          <w:t xml:space="preserve">[16]</w:t>
        </w:r>
      </w:hyperlink>
      <w:hyperlink r:id="rId48">
        <w:r>
          <w:rPr>
            <w:rStyle w:val="Hyperlink"/>
          </w:rPr>
          <w:t xml:space="preserve">[23]</w:t>
        </w:r>
      </w:hyperlink>
      <w:hyperlink r:id="rId50">
        <w:r>
          <w:rPr>
            <w:rStyle w:val="Hyperlink"/>
          </w:rPr>
          <w:t xml:space="preserve">[25]</w:t>
        </w:r>
      </w:hyperlink>
    </w:p>
    <w:bookmarkEnd w:id="72"/>
    <w:bookmarkEnd w:id="73"/>
    <w:bookmarkEnd w:id="74"/>
    <w:p>
      <w:r>
        <w:pict>
          <v:rect style="width:0;height:1.5pt" o:hralign="center" o:hrstd="t" o:hr="t"/>
        </w:pict>
      </w:r>
    </w:p>
    <w:bookmarkStart w:id="81"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1">
        <w:r>
          <w:rPr>
            <w:rStyle w:val="Hyperlink"/>
          </w:rPr>
          <w:t xml:space="preserve">[9]</w:t>
        </w:r>
      </w:hyperlink>
      <w:r>
        <w:t xml:space="preserve"> </w:t>
      </w:r>
      <w:hyperlink r:id="rId38">
        <w:r>
          <w:rPr>
            <w:rStyle w:val="Hyperlink"/>
          </w:rPr>
          <w:t xml:space="preserve">[15]</w:t>
        </w:r>
      </w:hyperlink>
      <w:r>
        <w:t xml:space="preserve"> </w:t>
      </w:r>
      <w:hyperlink r:id="rId40">
        <w:r>
          <w:rPr>
            <w:rStyle w:val="Hyperlink"/>
          </w:rPr>
          <w:t xml:space="preserve">[16]</w:t>
        </w:r>
      </w:hyperlink>
      <w:r>
        <w:t xml:space="preserve"> </w:t>
      </w:r>
      <w:hyperlink r:id="rId56">
        <w:r>
          <w:rPr>
            <w:rStyle w:val="Hyperlink"/>
          </w:rPr>
          <w:t xml:space="preserve">[29]</w:t>
        </w:r>
      </w:hyperlink>
      <w:r>
        <w:t xml:space="preserve"> </w:t>
      </w:r>
      <w:hyperlink r:id="rId58">
        <w:r>
          <w:rPr>
            <w:rStyle w:val="Hyperlink"/>
          </w:rPr>
          <w:t xml:space="preserve">[31]</w:t>
        </w:r>
      </w:hyperlink>
      <w:r>
        <w:t xml:space="preserve"> </w:t>
      </w:r>
      <w:hyperlink r:id="rId71">
        <w:r>
          <w:rPr>
            <w:rStyle w:val="Hyperlink"/>
          </w:rPr>
          <w:t xml:space="preserve">[37]</w:t>
        </w:r>
      </w:hyperlink>
      <w:r>
        <w:t xml:space="preserve"> </w:t>
      </w:r>
      <w:r>
        <w:t xml:space="preserve">Maritime_Platform_Blueprint.docx</w:t>
      </w:r>
    </w:p>
    <w:p>
      <w:pPr>
        <w:pStyle w:val="BodyText"/>
      </w:pPr>
      <w:hyperlink r:id="rId75">
        <w:r>
          <w:rPr>
            <w:rStyle w:val="Hyperlink"/>
          </w:rPr>
          <w:t xml:space="preserve">file://file_0000000083b87207bab880f3fb028a1c</w:t>
        </w:r>
      </w:hyperlink>
    </w:p>
    <w:p>
      <w:pPr>
        <w:pStyle w:val="BodyText"/>
      </w:pPr>
      <w:hyperlink r:id="rId27">
        <w:r>
          <w:rPr>
            <w:rStyle w:val="Hyperlink"/>
          </w:rPr>
          <w:t xml:space="preserve">[6]</w:t>
        </w:r>
      </w:hyperlink>
      <w:r>
        <w:t xml:space="preserve"> </w:t>
      </w:r>
      <w:r>
        <w:t xml:space="preserve">IMPA | IMPA | Marine Stores Guide</w:t>
      </w:r>
    </w:p>
    <w:p>
      <w:pPr>
        <w:pStyle w:val="BodyText"/>
      </w:pPr>
      <w:hyperlink r:id="rId76">
        <w:r>
          <w:rPr>
            <w:rStyle w:val="Hyperlink"/>
          </w:rPr>
          <w:t xml:space="preserve">https://impa.net/what-we-do/impa-marine-stores-guide</w:t>
        </w:r>
      </w:hyperlink>
    </w:p>
    <w:p>
      <w:pPr>
        <w:pStyle w:val="BodyText"/>
      </w:pPr>
      <w:hyperlink r:id="rId28">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7">
        <w:r>
          <w:rPr>
            <w:rStyle w:val="Hyperlink"/>
          </w:rPr>
          <w:t xml:space="preserve">[30]</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hyperlink r:id="rId62">
        <w:r>
          <w:rPr>
            <w:rStyle w:val="Hyperlink"/>
          </w:rPr>
          <w:t xml:space="preserve">[34]</w:t>
        </w:r>
      </w:hyperlink>
      <w:r>
        <w:t xml:space="preserve"> </w:t>
      </w:r>
      <w:hyperlink r:id="rId70">
        <w:r>
          <w:rPr>
            <w:rStyle w:val="Hyperlink"/>
          </w:rPr>
          <w:t xml:space="preserve">[36]</w:t>
        </w:r>
      </w:hyperlink>
      <w:r>
        <w:t xml:space="preserve"> </w:t>
      </w:r>
      <w:hyperlink r:id="rId57">
        <w:r>
          <w:rPr>
            <w:rStyle w:val="Hyperlink"/>
          </w:rPr>
          <w:t xml:space="preserve">[38]</w:t>
        </w:r>
      </w:hyperlink>
      <w:r>
        <w:t xml:space="preserve"> </w:t>
      </w:r>
      <w:r>
        <w:t xml:space="preserve">compass_artifact_wf-261e15d4-a503-41dd-ada5-8fcd18323802_text_markdown.md</w:t>
      </w:r>
    </w:p>
    <w:p>
      <w:pPr>
        <w:pStyle w:val="BodyText"/>
      </w:pPr>
      <w:hyperlink r:id="rId77">
        <w:r>
          <w:rPr>
            <w:rStyle w:val="Hyperlink"/>
          </w:rPr>
          <w:t xml:space="preserve">file://file_00000000465c7207af5fdd4b175eb1a6</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How do IMPA Marine Numbers Map to Phelps Industrial's Products | Phelps Industrial Products</w:t>
      </w:r>
    </w:p>
    <w:p>
      <w:pPr>
        <w:pStyle w:val="BodyText"/>
      </w:pPr>
      <w:hyperlink r:id="rId78">
        <w:r>
          <w:rPr>
            <w:rStyle w:val="Hyperlink"/>
          </w:rPr>
          <w:t xml:space="preserve">https://www.phelpsgaskets.com/blog/how-to-impa-marine-numbers-map-to-phelps-industrials-products</w:t>
        </w:r>
      </w:hyperlink>
    </w:p>
    <w:p>
      <w:pPr>
        <w:pStyle w:val="BodyText"/>
      </w:pPr>
      <w:hyperlink r:id="rId36">
        <w:r>
          <w:rPr>
            <w:rStyle w:val="Hyperlink"/>
          </w:rPr>
          <w:t xml:space="preserve">[13]</w:t>
        </w:r>
      </w:hyperlink>
      <w:r>
        <w:t xml:space="preserve"> </w:t>
      </w:r>
      <w:hyperlink r:id="rId37">
        <w:r>
          <w:rPr>
            <w:rStyle w:val="Hyperlink"/>
          </w:rPr>
          <w:t xml:space="preserve">[14]</w:t>
        </w:r>
      </w:hyperlink>
      <w:r>
        <w:t xml:space="preserve"> </w:t>
      </w:r>
      <w:r>
        <w:t xml:space="preserve"> </w:t>
      </w:r>
      <w:r>
        <w:t xml:space="preserve">Beşiktaş Marine</w:t>
      </w:r>
      <w:r>
        <w:t xml:space="preserve"> </w:t>
      </w:r>
    </w:p>
    <w:p>
      <w:pPr>
        <w:pStyle w:val="BodyText"/>
      </w:pPr>
      <w:hyperlink r:id="rId79">
        <w:r>
          <w:rPr>
            <w:rStyle w:val="Hyperlink"/>
          </w:rPr>
          <w:t xml:space="preserve">https://www.besiktasmarine.com/products/14381/370802</w:t>
        </w:r>
      </w:hyperlink>
    </w:p>
    <w:p>
      <w:pPr>
        <w:pStyle w:val="BodyText"/>
      </w:pPr>
      <w:hyperlink r:id="rId43">
        <w:r>
          <w:rPr>
            <w:rStyle w:val="Hyperlink"/>
          </w:rPr>
          <w:t xml:space="preserve">[19]</w:t>
        </w:r>
      </w:hyperlink>
      <w:r>
        <w:t xml:space="preserve"> </w:t>
      </w:r>
      <w:hyperlink r:id="rId65">
        <w:r>
          <w:rPr>
            <w:rStyle w:val="Hyperlink"/>
          </w:rPr>
          <w:t xml:space="preserve">[35]</w:t>
        </w:r>
      </w:hyperlink>
      <w:r>
        <w:t xml:space="preserve"> </w:t>
      </w:r>
      <w:r>
        <w:t xml:space="preserve">Why we replaced Pinecone with PGVector - Confident AI</w:t>
      </w:r>
    </w:p>
    <w:p>
      <w:pPr>
        <w:pStyle w:val="BodyText"/>
      </w:pPr>
      <w:hyperlink r:id="rId80">
        <w:r>
          <w:rPr>
            <w:rStyle w:val="Hyperlink"/>
          </w:rPr>
          <w:t xml:space="preserve">https://www.confident-ai.com/blog/why-we-replaced-pinecone-with-pgvector</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_00000000465c7207af5fdd4b175eb1a6" TargetMode="External" /><Relationship Type="http://schemas.openxmlformats.org/officeDocument/2006/relationships/hyperlink" Id="rId57" Target="file://file_00000000465c7207af5fdd4b175eb1a6#:~:text=%2A%2ACloud%3A%20AWS%20Mumbai%20%28ap,or%20team%20gains%20Kubernetes%20expertise" TargetMode="External" /><Relationship Type="http://schemas.openxmlformats.org/officeDocument/2006/relationships/hyperlink" Id="rId61" Target="file://file_00000000465c7207af5fdd4b175eb1a6#:~:text=%2A%2AReal,prevent%20concurrent%20bid%20race%20conditions" TargetMode="External" /><Relationship Type="http://schemas.openxmlformats.org/officeDocument/2006/relationships/hyperlink" Id="rId41" Target="file://file_00000000465c7207af5fdd4b175eb1a6#:~:text=%2A%2ASearch%3A%20Meilisearch%2A%2A%20delivers%20sub,2025%20versions" TargetMode="External" /><Relationship Type="http://schemas.openxmlformats.org/officeDocument/2006/relationships/hyperlink" Id="rId32" Target="file://file_00000000465c7207af5fdd4b175eb1a6#:~:text=%2A%2AThe%20ShipServ%20IMPA%20Catalogue%2A%2A%20%28impa,useful%20for%20validation%20during%20development" TargetMode="External" /><Relationship Type="http://schemas.openxmlformats.org/officeDocument/2006/relationships/hyperlink" Id="rId28" Target="file://file_00000000465c7207af5fdd4b175eb1a6#:~:text=," TargetMode="External" /><Relationship Type="http://schemas.openxmlformats.org/officeDocument/2006/relationships/hyperlink" Id="rId60" Target="file://file_00000000465c7207af5fdd4b175eb1a6#:~:text=,CSS%20for%20rapid%20UI%20development" TargetMode="External" /><Relationship Type="http://schemas.openxmlformats.org/officeDocument/2006/relationships/hyperlink" Id="rId62" Target="file://file_00000000465c7207af5fdd4b175eb1a6#:~:text=,SQLite%20syncing%20when%20connectivity%20returns" TargetMode="External" /><Relationship Type="http://schemas.openxmlformats.org/officeDocument/2006/relationships/hyperlink" Id="rId42" Target="file://file_00000000465c7207af5fdd4b175eb1a6#:~:text=,integration%2C%20using%20familiar%20SQL%20queries" TargetMode="External" /><Relationship Type="http://schemas.openxmlformats.org/officeDocument/2006/relationships/hyperlink" Id="rId53" Target="file://file_00000000465c7207af5fdd4b175eb1a6#:~:text=,of%20manual%20data%20entry%20labor" TargetMode="External" /><Relationship Type="http://schemas.openxmlformats.org/officeDocument/2006/relationships/hyperlink" Id="rId52" Target="file://file_00000000465c7207af5fdd4b175eb1a6#:~:text=,row%2C%20preventing%20this%20failure%20mode" TargetMode="External" /><Relationship Type="http://schemas.openxmlformats.org/officeDocument/2006/relationships/hyperlink" Id="rId30" Target="file://file_00000000465c7207af5fdd4b175eb1a6#:~:text=,year%20minimum%20commitment" TargetMode="External" /><Relationship Type="http://schemas.openxmlformats.org/officeDocument/2006/relationships/hyperlink" Id="rId46" Target="file://file_00000000465c7207af5fdd4b175eb1a6#:~:text=1.%20,embeddings%20enable%20semantic%20similarity%20matching" TargetMode="External" /><Relationship Type="http://schemas.openxmlformats.org/officeDocument/2006/relationships/hyperlink" Id="rId51" Target="file://file_00000000465c7207af5fdd4b175eb1a6#:~:text=Document%20AI%20now%20enables%20automated,requisition%20processing%20at%20production%20scale" TargetMode="External" /><Relationship Type="http://schemas.openxmlformats.org/officeDocument/2006/relationships/hyperlink" Id="rId47" Target="file://file_00000000465c7207af5fdd4b175eb1a6#:~:text=Intelligence%20v4,negligible%20relative%20to%20labor%20savings" TargetMode="External" /><Relationship Type="http://schemas.openxmlformats.org/officeDocument/2006/relationships/hyperlink" Id="rId50" Target="file://file_00000000465c7207af5fdd4b175eb1a6#:~:text=The%20pipeline%20architecture%20should%20be,handwritten%20notes%20or%20poor%20scans" TargetMode="External" /><Relationship Type="http://schemas.openxmlformats.org/officeDocument/2006/relationships/hyperlink" Id="rId70" Target="file://file_00000000465c7207af5fdd4b175eb1a6#:~:text=The%20recommended%20architecture%20combines%20cloud,document%20AI%20with%20LLM%20extraction" TargetMode="External" /><Relationship Type="http://schemas.openxmlformats.org/officeDocument/2006/relationships/hyperlink" Id="rId45" Target="file://file_00000000465c7207af5fdd4b175eb1a6#:~:text=The%20technology%20stack%20for%20parsing,negligible%20relative%20to%20labor%20savings" TargetMode="External" /><Relationship Type="http://schemas.openxmlformats.org/officeDocument/2006/relationships/hyperlink" Id="rId49" Target="file://file_00000000465c7207af5fdd4b175eb1a6#:~:text=accuracy%20on%20invoice%20extraction%20benchmarks,catalog%2C%20with%20reranking%20via%20LLM" TargetMode="External" /><Relationship Type="http://schemas.openxmlformats.org/officeDocument/2006/relationships/hyperlink" Id="rId48" Target="file://file_00000000465c7207af5fdd4b175eb1a6#:~:text=headers%20that%20defeat%20traditional%20parsers,embeddings%20enable%20semantic%20similarity%20matching" TargetMode="External" /><Relationship Type="http://schemas.openxmlformats.org/officeDocument/2006/relationships/hyperlink" Id="rId75" Target="file://file_0000000083b87207bab880f3fb028a1c" TargetMode="External" /><Relationship Type="http://schemas.openxmlformats.org/officeDocument/2006/relationships/hyperlink" Id="rId58" Target="file://file_0000000083b87207bab880f3fb028a1c#:~:text=Cloud" TargetMode="External" /><Relationship Type="http://schemas.openxmlformats.org/officeDocument/2006/relationships/hyperlink" Id="rId25" Target="file://file_0000000083b87207bab880f3fb028a1c#:~:text=Consumables%3A%20Petroleum%20,55" TargetMode="External" /><Relationship Type="http://schemas.openxmlformats.org/officeDocument/2006/relationships/hyperlink" Id="rId31" Target="file://file_0000000083b87207bab880f3fb028a1c#:~:text=Document%20upload%20with%20Azure%20Document,Intelligence%20extraction" TargetMode="External" /><Relationship Type="http://schemas.openxmlformats.org/officeDocument/2006/relationships/hyperlink" Id="rId38" Target="file://file_0000000083b87207bab880f3fb028a1c#:~:text=Key%20Categories" TargetMode="External" /><Relationship Type="http://schemas.openxmlformats.org/officeDocument/2006/relationships/hyperlink" Id="rId24" Target="file://file_0000000083b87207bab880f3fb028a1c#:~:text=MSG%20API%20,data%20feeds%2C%20eliminates%20manual%20uploads" TargetMode="External" /><Relationship Type="http://schemas.openxmlformats.org/officeDocument/2006/relationships/hyperlink" Id="rId23" Target="file://file_0000000083b87207bab880f3fb028a1c#:~:text=MSG%20Data%20Licence%3A%20CSV%2FExcel%20format,annual%20updates" TargetMode="External" /><Relationship Type="http://schemas.openxmlformats.org/officeDocument/2006/relationships/hyperlink" Id="rId71" Target="file://file_0000000083b87207bab880f3fb028a1c#:~:text=Marketplace%20Architecture" TargetMode="External" /><Relationship Type="http://schemas.openxmlformats.org/officeDocument/2006/relationships/hyperlink" Id="rId40" Target="file://file_0000000083b87207bab880f3fb028a1c#:~:text=Search" TargetMode="External" /><Relationship Type="http://schemas.openxmlformats.org/officeDocument/2006/relationships/hyperlink" Id="rId22" Target="file://file_0000000083b87207bab880f3fb028a1c#:~:text=The%20International%20Marine%20Purchasing%20Association%E2%80%99s,seamless%20ordering%20across%20language%20barriers" TargetMode="External" /><Relationship Type="http://schemas.openxmlformats.org/officeDocument/2006/relationships/hyperlink" Id="rId26" Target="file://file_0000000083b87207bab880f3fb028a1c#:~:text=Tools%3A%20Pneumatic%20%26%20electrical%20,65" TargetMode="External" /><Relationship Type="http://schemas.openxmlformats.org/officeDocument/2006/relationships/hyperlink" Id="rId56" Target="file://file_0000000083b87207bab880f3fb028a1c#:~:text=WebSocket%20scaling%20for%20bidding%20concurrency" TargetMode="External" /><Relationship Type="http://schemas.openxmlformats.org/officeDocument/2006/relationships/hyperlink" Id="rId76" Target="https://impa.net/what-we-do/impa-marine-stores-guide" TargetMode="External" /><Relationship Type="http://schemas.openxmlformats.org/officeDocument/2006/relationships/hyperlink" Id="rId27" Target="https://impa.net/what-we-do/impa-marine-stores-guide#:~:text=IHM%20Relevancy%20Check%20and%20Guidance,listed%20within%20the%20MSG%20data" TargetMode="External" /><Relationship Type="http://schemas.openxmlformats.org/officeDocument/2006/relationships/hyperlink" Id="rId79" Target="https://www.besiktasmarine.com/products/14381/370802" TargetMode="External" /><Relationship Type="http://schemas.openxmlformats.org/officeDocument/2006/relationships/hyperlink" Id="rId37" Target="https://www.besiktasmarine.com/products/14381/370802#:~:text=,2782" TargetMode="External" /><Relationship Type="http://schemas.openxmlformats.org/officeDocument/2006/relationships/hyperlink" Id="rId36" Target="https://www.besiktasmarine.com/products/14381/370802#:~:text=,47.%20stationery%20%281547" TargetMode="External" /><Relationship Type="http://schemas.openxmlformats.org/officeDocument/2006/relationships/hyperlink" Id="rId80" Target="https://www.confident-ai.com/blog/why-we-replaced-pinecone-with-pgvector" TargetMode="External" /><Relationship Type="http://schemas.openxmlformats.org/officeDocument/2006/relationships/hyperlink" Id="rId43" Target="https://www.confident-ai.com/blog/why-we-replaced-pinecone-with-pgvector#:~:text=PostgreSQL%20DB%2C%20we%20initially%20considered,an%20initial%20vector%20search%20in" TargetMode="External" /><Relationship Type="http://schemas.openxmlformats.org/officeDocument/2006/relationships/hyperlink" Id="rId65" Target="https://www.confident-ai.com/blog/why-we-replaced-pinecone-with-pgvector#:~:text=bottleneck%20in%20using%20a%20closed,with%20the%20retrieved%20vector%20embeddings" TargetMode="External" /><Relationship Type="http://schemas.openxmlformats.org/officeDocument/2006/relationships/hyperlink" Id="rId78" Target="https://www.phelpsgaskets.com/blog/how-to-impa-marine-numbers-map-to-phelps-industrials-products" TargetMode="External" /><Relationship Type="http://schemas.openxmlformats.org/officeDocument/2006/relationships/hyperlink" Id="rId35" Target="https://www.phelpsgaskets.com/blog/how-to-impa-marine-numbers-map-to-phelps-industrials-products#:~:text=IMPA%20Numbers%20IMPA%20DESCRIPTION%20Pillar,4505L" TargetMode="External" /><Relationship Type="http://schemas.openxmlformats.org/officeDocument/2006/relationships/hyperlink" Id="rId34" Target="https://www.phelpsgaskets.com/blog/how-to-impa-marine-numbers-map-to-phelps-industrials-products#:~:text=to%20identify%20marine%20supplies%20world,Phelps%C2%A0supplies%20to%20the%20marine%20industry" TargetMode="External" /></Relationships>
</file>

<file path=word/_rels/footnotes.xml.rels><?xml version="1.0" encoding="UTF-8"?><Relationships xmlns="http://schemas.openxmlformats.org/package/2006/relationships"><Relationship Type="http://schemas.openxmlformats.org/officeDocument/2006/relationships/hyperlink" Id="rId77" Target="file://file_00000000465c7207af5fdd4b175eb1a6" TargetMode="External" /><Relationship Type="http://schemas.openxmlformats.org/officeDocument/2006/relationships/hyperlink" Id="rId57" Target="file://file_00000000465c7207af5fdd4b175eb1a6#:~:text=%2A%2ACloud%3A%20AWS%20Mumbai%20%28ap,or%20team%20gains%20Kubernetes%20expertise" TargetMode="External" /><Relationship Type="http://schemas.openxmlformats.org/officeDocument/2006/relationships/hyperlink" Id="rId61" Target="file://file_00000000465c7207af5fdd4b175eb1a6#:~:text=%2A%2AReal,prevent%20concurrent%20bid%20race%20conditions" TargetMode="External" /><Relationship Type="http://schemas.openxmlformats.org/officeDocument/2006/relationships/hyperlink" Id="rId41" Target="file://file_00000000465c7207af5fdd4b175eb1a6#:~:text=%2A%2ASearch%3A%20Meilisearch%2A%2A%20delivers%20sub,2025%20versions" TargetMode="External" /><Relationship Type="http://schemas.openxmlformats.org/officeDocument/2006/relationships/hyperlink" Id="rId32" Target="file://file_00000000465c7207af5fdd4b175eb1a6#:~:text=%2A%2AThe%20ShipServ%20IMPA%20Catalogue%2A%2A%20%28impa,useful%20for%20validation%20during%20development" TargetMode="External" /><Relationship Type="http://schemas.openxmlformats.org/officeDocument/2006/relationships/hyperlink" Id="rId28" Target="file://file_00000000465c7207af5fdd4b175eb1a6#:~:text=," TargetMode="External" /><Relationship Type="http://schemas.openxmlformats.org/officeDocument/2006/relationships/hyperlink" Id="rId60" Target="file://file_00000000465c7207af5fdd4b175eb1a6#:~:text=,CSS%20for%20rapid%20UI%20development" TargetMode="External" /><Relationship Type="http://schemas.openxmlformats.org/officeDocument/2006/relationships/hyperlink" Id="rId62" Target="file://file_00000000465c7207af5fdd4b175eb1a6#:~:text=,SQLite%20syncing%20when%20connectivity%20returns" TargetMode="External" /><Relationship Type="http://schemas.openxmlformats.org/officeDocument/2006/relationships/hyperlink" Id="rId42" Target="file://file_00000000465c7207af5fdd4b175eb1a6#:~:text=,integration%2C%20using%20familiar%20SQL%20queries" TargetMode="External" /><Relationship Type="http://schemas.openxmlformats.org/officeDocument/2006/relationships/hyperlink" Id="rId53" Target="file://file_00000000465c7207af5fdd4b175eb1a6#:~:text=,of%20manual%20data%20entry%20labor" TargetMode="External" /><Relationship Type="http://schemas.openxmlformats.org/officeDocument/2006/relationships/hyperlink" Id="rId52" Target="file://file_00000000465c7207af5fdd4b175eb1a6#:~:text=,row%2C%20preventing%20this%20failure%20mode" TargetMode="External" /><Relationship Type="http://schemas.openxmlformats.org/officeDocument/2006/relationships/hyperlink" Id="rId30" Target="file://file_00000000465c7207af5fdd4b175eb1a6#:~:text=,year%20minimum%20commitment" TargetMode="External" /><Relationship Type="http://schemas.openxmlformats.org/officeDocument/2006/relationships/hyperlink" Id="rId46" Target="file://file_00000000465c7207af5fdd4b175eb1a6#:~:text=1.%20,embeddings%20enable%20semantic%20similarity%20matching" TargetMode="External" /><Relationship Type="http://schemas.openxmlformats.org/officeDocument/2006/relationships/hyperlink" Id="rId51" Target="file://file_00000000465c7207af5fdd4b175eb1a6#:~:text=Document%20AI%20now%20enables%20automated,requisition%20processing%20at%20production%20scale" TargetMode="External" /><Relationship Type="http://schemas.openxmlformats.org/officeDocument/2006/relationships/hyperlink" Id="rId47" Target="file://file_00000000465c7207af5fdd4b175eb1a6#:~:text=Intelligence%20v4,negligible%20relative%20to%20labor%20savings" TargetMode="External" /><Relationship Type="http://schemas.openxmlformats.org/officeDocument/2006/relationships/hyperlink" Id="rId50" Target="file://file_00000000465c7207af5fdd4b175eb1a6#:~:text=The%20pipeline%20architecture%20should%20be,handwritten%20notes%20or%20poor%20scans" TargetMode="External" /><Relationship Type="http://schemas.openxmlformats.org/officeDocument/2006/relationships/hyperlink" Id="rId70" Target="file://file_00000000465c7207af5fdd4b175eb1a6#:~:text=The%20recommended%20architecture%20combines%20cloud,document%20AI%20with%20LLM%20extraction" TargetMode="External" /><Relationship Type="http://schemas.openxmlformats.org/officeDocument/2006/relationships/hyperlink" Id="rId45" Target="file://file_00000000465c7207af5fdd4b175eb1a6#:~:text=The%20technology%20stack%20for%20parsing,negligible%20relative%20to%20labor%20savings" TargetMode="External" /><Relationship Type="http://schemas.openxmlformats.org/officeDocument/2006/relationships/hyperlink" Id="rId49" Target="file://file_00000000465c7207af5fdd4b175eb1a6#:~:text=accuracy%20on%20invoice%20extraction%20benchmarks,catalog%2C%20with%20reranking%20via%20LLM" TargetMode="External" /><Relationship Type="http://schemas.openxmlformats.org/officeDocument/2006/relationships/hyperlink" Id="rId48" Target="file://file_00000000465c7207af5fdd4b175eb1a6#:~:text=headers%20that%20defeat%20traditional%20parsers,embeddings%20enable%20semantic%20similarity%20matching" TargetMode="External" /><Relationship Type="http://schemas.openxmlformats.org/officeDocument/2006/relationships/hyperlink" Id="rId75" Target="file://file_0000000083b87207bab880f3fb028a1c" TargetMode="External" /><Relationship Type="http://schemas.openxmlformats.org/officeDocument/2006/relationships/hyperlink" Id="rId58" Target="file://file_0000000083b87207bab880f3fb028a1c#:~:text=Cloud" TargetMode="External" /><Relationship Type="http://schemas.openxmlformats.org/officeDocument/2006/relationships/hyperlink" Id="rId25" Target="file://file_0000000083b87207bab880f3fb028a1c#:~:text=Consumables%3A%20Petroleum%20,55" TargetMode="External" /><Relationship Type="http://schemas.openxmlformats.org/officeDocument/2006/relationships/hyperlink" Id="rId31" Target="file://file_0000000083b87207bab880f3fb028a1c#:~:text=Document%20upload%20with%20Azure%20Document,Intelligence%20extraction" TargetMode="External" /><Relationship Type="http://schemas.openxmlformats.org/officeDocument/2006/relationships/hyperlink" Id="rId38" Target="file://file_0000000083b87207bab880f3fb028a1c#:~:text=Key%20Categories" TargetMode="External" /><Relationship Type="http://schemas.openxmlformats.org/officeDocument/2006/relationships/hyperlink" Id="rId24" Target="file://file_0000000083b87207bab880f3fb028a1c#:~:text=MSG%20API%20,data%20feeds%2C%20eliminates%20manual%20uploads" TargetMode="External" /><Relationship Type="http://schemas.openxmlformats.org/officeDocument/2006/relationships/hyperlink" Id="rId23" Target="file://file_0000000083b87207bab880f3fb028a1c#:~:text=MSG%20Data%20Licence%3A%20CSV%2FExcel%20format,annual%20updates" TargetMode="External" /><Relationship Type="http://schemas.openxmlformats.org/officeDocument/2006/relationships/hyperlink" Id="rId71" Target="file://file_0000000083b87207bab880f3fb028a1c#:~:text=Marketplace%20Architecture" TargetMode="External" /><Relationship Type="http://schemas.openxmlformats.org/officeDocument/2006/relationships/hyperlink" Id="rId40" Target="file://file_0000000083b87207bab880f3fb028a1c#:~:text=Search" TargetMode="External" /><Relationship Type="http://schemas.openxmlformats.org/officeDocument/2006/relationships/hyperlink" Id="rId22" Target="file://file_0000000083b87207bab880f3fb028a1c#:~:text=The%20International%20Marine%20Purchasing%20Association%E2%80%99s,seamless%20ordering%20across%20language%20barriers" TargetMode="External" /><Relationship Type="http://schemas.openxmlformats.org/officeDocument/2006/relationships/hyperlink" Id="rId26" Target="file://file_0000000083b87207bab880f3fb028a1c#:~:text=Tools%3A%20Pneumatic%20%26%20electrical%20,65" TargetMode="External" /><Relationship Type="http://schemas.openxmlformats.org/officeDocument/2006/relationships/hyperlink" Id="rId56" Target="file://file_0000000083b87207bab880f3fb028a1c#:~:text=WebSocket%20scaling%20for%20bidding%20concurrency" TargetMode="External" /><Relationship Type="http://schemas.openxmlformats.org/officeDocument/2006/relationships/hyperlink" Id="rId76" Target="https://impa.net/what-we-do/impa-marine-stores-guide" TargetMode="External" /><Relationship Type="http://schemas.openxmlformats.org/officeDocument/2006/relationships/hyperlink" Id="rId27" Target="https://impa.net/what-we-do/impa-marine-stores-guide#:~:text=IHM%20Relevancy%20Check%20and%20Guidance,listed%20within%20the%20MSG%20data" TargetMode="External" /><Relationship Type="http://schemas.openxmlformats.org/officeDocument/2006/relationships/hyperlink" Id="rId79" Target="https://www.besiktasmarine.com/products/14381/370802" TargetMode="External" /><Relationship Type="http://schemas.openxmlformats.org/officeDocument/2006/relationships/hyperlink" Id="rId37" Target="https://www.besiktasmarine.com/products/14381/370802#:~:text=,2782" TargetMode="External" /><Relationship Type="http://schemas.openxmlformats.org/officeDocument/2006/relationships/hyperlink" Id="rId36" Target="https://www.besiktasmarine.com/products/14381/370802#:~:text=,47.%20stationery%20%281547" TargetMode="External" /><Relationship Type="http://schemas.openxmlformats.org/officeDocument/2006/relationships/hyperlink" Id="rId80" Target="https://www.confident-ai.com/blog/why-we-replaced-pinecone-with-pgvector" TargetMode="External" /><Relationship Type="http://schemas.openxmlformats.org/officeDocument/2006/relationships/hyperlink" Id="rId43" Target="https://www.confident-ai.com/blog/why-we-replaced-pinecone-with-pgvector#:~:text=PostgreSQL%20DB%2C%20we%20initially%20considered,an%20initial%20vector%20search%20in" TargetMode="External" /><Relationship Type="http://schemas.openxmlformats.org/officeDocument/2006/relationships/hyperlink" Id="rId65" Target="https://www.confident-ai.com/blog/why-we-replaced-pinecone-with-pgvector#:~:text=bottleneck%20in%20using%20a%20closed,with%20the%20retrieved%20vector%20embeddings" TargetMode="External" /><Relationship Type="http://schemas.openxmlformats.org/officeDocument/2006/relationships/hyperlink" Id="rId78" Target="https://www.phelpsgaskets.com/blog/how-to-impa-marine-numbers-map-to-phelps-industrials-products" TargetMode="External" /><Relationship Type="http://schemas.openxmlformats.org/officeDocument/2006/relationships/hyperlink" Id="rId35" Target="https://www.phelpsgaskets.com/blog/how-to-impa-marine-numbers-map-to-phelps-industrials-products#:~:text=IMPA%20Numbers%20IMPA%20DESCRIPTION%20Pillar,4505L" TargetMode="External" /><Relationship Type="http://schemas.openxmlformats.org/officeDocument/2006/relationships/hyperlink" Id="rId34" Target="https://www.phelpsgaskets.com/blog/how-to-impa-marine-numbers-map-to-phelps-industrials-products#:~:text=to%20identify%20marine%20supplies%20world,Phelps%C2%A0supplies%20to%20the%20marine%20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2026-01-20T06:00:26Z</dcterms:created>
  <dcterms:modified xsi:type="dcterms:W3CDTF">2026-01-20T06:00:26Z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