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ADRL implementation plan</w:t>
      </w:r>
    </w:p>
    <w:p>
      <w:pPr>
        <w:pStyle w:val="Subtitle"/>
      </w:pPr>
      <w:r>
        <w:rPr>
          <w:color w:val="000000"/>
        </w:rPr>
        <w:t>27 October 2026</w:t>
      </w:r>
    </w:p>
    <w:p>
      <w:pPr>
        <w:keepNext w:val="0"/>
        <w:widowControl/>
        <w:spacing w:after="200"/>
      </w:pPr>
      <w:r>
        <w:rPr>
          <w:b/>
          <w:sz w:val="28"/>
        </w:rPr>
        <w:t>Build the guarded Claude Code path first, then prove it before adding Codex.</w:t>
      </w:r>
      <w:r>
        <w:rPr>
          <w:sz w:val="28"/>
        </w:rPr>
      </w:r>
    </w:p>
    <w:p>
      <w:pPr>
        <w:keepNext w:val="0"/>
        <w:widowControl/>
      </w:pPr>
      <w:r>
        <w:t>Deliver seven reviewable changes around one core process and one SQLite database. Keep Jev, truthful memory, the evidence graph and all nine taxonomy buckets. Remove redundant machinery; do not build a new framework or platform.</w:t>
      </w:r>
    </w:p>
    <w:p>
      <w:pPr>
        <w:keepNext w:val="0"/>
        <w:widowControl/>
        <w:spacing w:after="300"/>
      </w:pPr>
      <w:r>
        <w:rPr>
          <w:sz w:val="20"/>
        </w:rPr>
        <w:t>This document is a plan, not implementation approval. No repository edits, tests or paid inference were performed. The reviewed repository main was 20ca99d.</w:t>
      </w:r>
    </w:p>
    <w:p>
      <w:pPr>
        <w:pStyle w:val="Heading2"/>
      </w:pPr>
      <w:r>
        <w:rPr>
          <w:color w:val="000000"/>
        </w:rPr>
        <w:t>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8467"/>
      </w:tblGrid>
      <w:tr>
        <w:trPr>
          <w:cantSplit/>
          <w:tblHeader/>
        </w:trPr>
        <w:tc>
          <w:tcPr>
            <w:tcW w:type="dxa" w:w="1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Milestone</w:t>
            </w:r>
          </w:p>
        </w:tc>
        <w:tc>
          <w:tcPr>
            <w:tcW w:type="dxa" w:w="84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What must be demonstrated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After PR 2</w:t>
            </w:r>
          </w:p>
        </w:tc>
        <w:tc>
          <w:tcPr>
            <w:tcW w:type="dxa" w:w="84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Safe transport with one continuity and execution owner; every outbound path remains constrained.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After PR 4</w:t>
            </w:r>
          </w:p>
        </w:tc>
        <w:tc>
          <w:tcPr>
            <w:tcW w:type="dxa" w:w="84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First mocked end-to-end Jev and ledger flow. This does not establish that paid Jev integration works.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After PR 5</w:t>
            </w:r>
          </w:p>
        </w:tc>
        <w:tc>
          <w:tcPr>
            <w:tcW w:type="dxa" w:w="84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The full retained capability: advisor, authoritative ledger, background enrichment and useful graph queries.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After PR 6</w:t>
            </w:r>
          </w:p>
        </w:tc>
        <w:tc>
          <w:tcPr>
            <w:tcW w:type="dxa" w:w="84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 measured Claude Code release, subject to explicit approval and declared quality, latency and cost limits.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After PR 7</w:t>
            </w:r>
          </w:p>
        </w:tc>
        <w:tc>
          <w:tcPr>
            <w:tcW w:type="dxa" w:w="84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Codex portability demonstrated independently, without copying routing policy or state machines.</w:t>
            </w:r>
          </w:p>
        </w:tc>
      </w:tr>
    </w:tbl>
    <w:p>
      <w:pPr>
        <w:keepNext w:val="0"/>
        <w:widowControl/>
        <w:spacing w:after="40"/>
      </w:pPr>
      <w:r/>
    </w:p>
    <w:p>
      <w:pPr>
        <w:pStyle w:val="Heading2"/>
      </w:pPr>
      <w:r>
        <w:rPr>
          <w:color w:val="000000"/>
        </w:rPr>
        <w:t>Decision needed</w:t>
      </w:r>
    </w:p>
    <w:p>
      <w:pPr>
        <w:keepNext w:val="0"/>
        <w:widowControl/>
      </w:pPr>
      <w:r>
        <w:t>Authorize repository implementation and select the execution environment to start mocked development. Provider access, data scope, spend and release tolerances must be approved separately before paid or live work.</w:t>
      </w:r>
    </w:p>
    <w:p>
      <w:pPr>
        <w:keepNext w:val="0"/>
        <w:widowControl/>
      </w:pPr>
      <w:r>
        <w:rPr>
          <w:sz w:val="20"/>
        </w:rPr>
        <w:t>Sequence: PR 1 → PR 2 → PR 3 → PRs 4 and 5 → PR 6 → PR 7. PR 5 can proceed alongside PR 4 once PR 3 is complete.</w:t>
      </w:r>
    </w:p>
    <w:p>
      <w:r>
        <w:br w:type="page"/>
      </w:r>
    </w:p>
    <w:p>
      <w:pPr>
        <w:pStyle w:val="Heading1"/>
      </w:pPr>
      <w:r>
        <w:rPr>
          <w:color w:val="000000"/>
        </w:rPr>
        <w:t>Core design and operating rules</w:t>
      </w:r>
    </w:p>
    <w:p>
      <w:pPr>
        <w:keepNext w:val="0"/>
        <w:widowControl/>
      </w:pPr>
      <w:r>
        <w:t>The response path stays small. The harness adapter handles protocol and identity; the core owns routing, constraints and execution. SQLite is the authoritative record. Optional embeddings and graph projections run in the background.</w:t>
      </w:r>
    </w:p>
    <w:p>
      <w:pPr>
        <w:pStyle w:val="Heading2"/>
      </w:pPr>
      <w:r>
        <w:rPr>
          <w:color w:val="000000"/>
        </w:rPr>
        <w:t>1  Thin harness adapter</w:t>
      </w:r>
    </w:p>
    <w:p>
      <w:pPr>
        <w:keepNext w:val="0"/>
        <w:widowControl/>
      </w:pPr>
      <w:r>
        <w:t>Decode and encode native protocol messages without adding routing policy. Start with Claude Code and add Codex only after the first slice is proven.</w:t>
      </w:r>
    </w:p>
    <w:p>
      <w:pPr>
        <w:pStyle w:val="Heading2"/>
      </w:pPr>
      <w:r>
        <w:rPr>
          <w:color w:val="000000"/>
        </w:rPr>
        <w:t>2  Continuity owner</w:t>
      </w:r>
    </w:p>
    <w:p>
      <w:pPr>
        <w:keepNext w:val="0"/>
        <w:widowControl/>
      </w:pPr>
      <w:r>
        <w:t>Retain the selected route through tool results and streaming. Request a new decision only at an explicit supported boundary.</w:t>
      </w:r>
    </w:p>
    <w:p>
      <w:pPr>
        <w:pStyle w:val="Heading2"/>
      </w:pPr>
      <w:r>
        <w:rPr>
          <w:color w:val="000000"/>
        </w:rPr>
        <w:t>3  Single Jev advisor</w:t>
      </w:r>
    </w:p>
    <w:p>
      <w:pPr>
        <w:keepNext w:val="0"/>
        <w:widowControl/>
      </w:pPr>
      <w:r>
        <w:t>Use one typed, bounded call for a new decision. Return exactly one authoritative choice or abstain. Laya can later replace this advisor; it is not a chained second opinion.</w:t>
      </w:r>
    </w:p>
    <w:p>
      <w:pPr>
        <w:pStyle w:val="Heading2"/>
      </w:pPr>
      <w:r>
        <w:rPr>
          <w:color w:val="000000"/>
        </w:rPr>
        <w:t>4  Constrained executor</w:t>
      </w:r>
    </w:p>
    <w:p>
      <w:pPr>
        <w:keepNext w:val="0"/>
        <w:widowControl/>
      </w:pPr>
      <w:r>
        <w:t>Check permissions, feasibility and budget before every outbound attempt. Own intended, attempted and actually served model transitions.</w:t>
      </w:r>
    </w:p>
    <w:p>
      <w:pPr>
        <w:pStyle w:val="Heading2"/>
      </w:pPr>
      <w:r>
        <w:rPr>
          <w:color w:val="000000"/>
        </w:rPr>
        <w:t>5  Authoritative ledger</w:t>
      </w:r>
    </w:p>
    <w:p>
      <w:pPr>
        <w:keepNext w:val="0"/>
        <w:widowControl/>
      </w:pPr>
      <w:r>
        <w:t>Record the decision, attempts, outcome and verifier evidence. Preserve unknown outcomes and late evidence without changing historical facts.</w:t>
      </w:r>
    </w:p>
    <w:p>
      <w:pPr>
        <w:pStyle w:val="Heading2"/>
      </w:pPr>
      <w:r>
        <w:rPr>
          <w:color w:val="000000"/>
        </w:rPr>
        <w:t>6  Background evidence map</w:t>
      </w:r>
    </w:p>
    <w:p>
      <w:pPr>
        <w:keepNext w:val="0"/>
        <w:widowControl/>
      </w:pPr>
      <w:r>
        <w:t>Build embeddings and graph projections from allowed evidence. Explain routes, repeated failures and proposed changes; never let the graph become routing authority.</w:t>
      </w:r>
    </w:p>
    <w:p>
      <w:pPr>
        <w:pStyle w:val="Heading2"/>
      </w:pPr>
      <w:r>
        <w:rPr>
          <w:color w:val="000000"/>
        </w:rPr>
        <w:t>Rules that apply even during failure</w:t>
      </w:r>
    </w:p>
    <w:p>
      <w:pPr>
        <w:pStyle w:val="ListBullet"/>
        <w:spacing w:after="120"/>
      </w:pPr>
      <w:r>
        <w:t>Unrecognized traffic preserves native semantics only when its original destination remains permitted. Otherwise stop.</w:t>
      </w:r>
    </w:p>
    <w:p>
      <w:pPr>
        <w:pStyle w:val="ListBullet"/>
        <w:spacing w:after="120"/>
      </w:pPr>
      <w:r>
        <w:t>Advisor abstention or timeout keeps a feasible permitted route or configured permitted native fallback. No feasible target means a visible refusal.</w:t>
      </w:r>
    </w:p>
    <w:p>
      <w:pPr>
        <w:pStyle w:val="ListBullet"/>
        <w:spacing w:after="120"/>
      </w:pPr>
      <w:r>
        <w:t>Check context permissions before constructing advisor payloads. Apply the same limits to provider internal fallback and retries.</w:t>
      </w:r>
    </w:p>
    <w:p>
      <w:pPr>
        <w:pStyle w:val="ListBullet"/>
        <w:spacing w:after="120"/>
      </w:pPr>
      <w:r>
        <w:t>Unknown quality stays unknown. Infrastructure or dialect failure is not automatically task difficulty. No automatic graph promotion, permanent utility exclusion or difficulty pre-gate.</w:t>
      </w:r>
    </w:p>
    <w:p>
      <w:pPr>
        <w:pStyle w:val="ListBullet"/>
        <w:spacing w:after="120"/>
      </w:pPr>
      <w:r>
        <w:t>Bypass disables optimization, not safety. Rollback must not restore the known unsafe fail open behavior.</w:t>
      </w:r>
    </w:p>
    <w:p>
      <w:r>
        <w:br w:type="page"/>
      </w:r>
    </w:p>
    <w:p>
      <w:pPr>
        <w:pStyle w:val="Heading1"/>
      </w:pPr>
      <w:r>
        <w:rPr>
          <w:color w:val="000000"/>
        </w:rPr>
        <w:t>Build safe transport and continuity</w:t>
      </w:r>
    </w:p>
    <w:p>
      <w:pPr>
        <w:pStyle w:val="Heading2"/>
      </w:pPr>
      <w:r>
        <w:rPr>
          <w:color w:val="000000"/>
        </w:rPr>
        <w:t>PR 1  Make every exit path obey the same constraints</w:t>
      </w:r>
    </w:p>
    <w:p>
      <w:pPr>
        <w:keepNext w:val="0"/>
        <w:widowControl/>
        <w:spacing w:after="120"/>
      </w:pPr>
      <w:r>
        <w:rPr>
          <w:sz w:val="19"/>
        </w:rPr>
        <w:t>Primary ADRL-SAF-001; secondary SAF-002/003/004/005/006, FND-004, OPS-008.  Depends on: none.</w:t>
      </w:r>
    </w:p>
    <w:p>
      <w:pPr>
        <w:keepNext w:val="0"/>
        <w:widowControl/>
        <w:spacing w:after="140"/>
      </w:pPr>
      <w:r>
        <w:rPr>
          <w:b/>
          <w:sz w:val="19"/>
        </w:rPr>
        <w:t>Existing files:</w:t>
      </w:r>
      <w:r>
        <w:rPr>
          <w:sz w:val="19"/>
        </w:rPr>
        <w:t xml:space="preserve"> src/router/policy.py, privacy.py, live_router.py; src/proxy/capture_proxy.py; config/litellm-local.yaml; docs/adr-index.md.</w:t>
      </w:r>
    </w:p>
    <w:p>
      <w:pPr>
        <w:keepNext w:val="0"/>
        <w:widowControl/>
        <w:spacing w:after="80"/>
      </w:pPr>
      <w:r>
        <w:rPr>
          <w:b/>
        </w:rPr>
        <w:t>Changes:</w:t>
      </w:r>
      <w:r>
        <w:t xml:space="preserve"> reuse one feasibility and destination check across planning, errors, fallbacks and advisor preparation. Reject unavailable permissions rather than passing unconditionally to Anthropic. Disable provider fallbacks that widen destinations; allow compatible native passthrough only under the same constraints.</w:t>
      </w:r>
    </w:p>
    <w:p>
      <w:pPr>
        <w:keepNext w:val="0"/>
        <w:widowControl/>
        <w:spacing w:after="80"/>
      </w:pPr>
      <w:r>
        <w:t>Align ADR rows in this PR: FND-004 conditional fail-open; RTG-003/006 single-advisor direction; SEM-004/005 protocol-backed eligibility and boundaries, without a utility blacklist. Preserve IDs and history or supersede through the index; do not claim evidence prematurely.</w:t>
      </w:r>
    </w:p>
    <w:p>
      <w:pPr>
        <w:keepNext w:val="0"/>
        <w:widowControl/>
        <w:spacing w:after="80"/>
      </w:pPr>
      <w:r>
        <w:rPr>
          <w:b/>
        </w:rPr>
        <w:t>Acceptance:</w:t>
      </w:r>
      <w:r>
        <w:t xml:space="preserve"> pinned session plus planner/scanner failure sends zero cloud requests; prohibited advisor call is rejected before payload construction; no feasible candidate means a controlled stop; fallback never expands permissions; kill switch preserves restrictions.</w:t>
      </w:r>
    </w:p>
    <w:p>
      <w:pPr>
        <w:keepNext w:val="0"/>
        <w:widowControl/>
        <w:spacing w:after="80"/>
      </w:pPr>
      <w:r>
        <w:rPr>
          <w:b/>
        </w:rPr>
        <w:t>Rollback:</w:t>
      </w:r>
      <w:r>
        <w:t xml:space="preserve"> disable new optimization while retaining these safety fixes.</w:t>
      </w:r>
    </w:p>
    <w:p>
      <w:pPr>
        <w:keepNext w:val="0"/>
        <w:widowControl/>
        <w:spacing w:after="140"/>
      </w:pPr>
      <w:r>
        <w:rPr>
          <w:b/>
          <w:sz w:val="19"/>
        </w:rPr>
        <w:t>Key tests:</w:t>
      </w:r>
      <w:r>
        <w:rPr>
          <w:sz w:val="19"/>
        </w:rPr>
        <w:t xml:space="preserve"> tests/test_privacy.py, test_hook_feasibility.py, test_hook_failopen.py, test_router_proxy.py.</w:t>
      </w:r>
    </w:p>
    <w:p>
      <w:pPr>
        <w:pStyle w:val="Heading2"/>
      </w:pPr>
      <w:r>
        <w:rPr>
          <w:color w:val="000000"/>
        </w:rPr>
        <w:t>PR 2  Give Claude Code one continuity and execution owner</w:t>
      </w:r>
    </w:p>
    <w:p>
      <w:pPr>
        <w:keepNext w:val="0"/>
        <w:widowControl/>
        <w:spacing w:after="120"/>
      </w:pPr>
      <w:r>
        <w:rPr>
          <w:sz w:val="19"/>
        </w:rPr>
        <w:t>Primary ADRL-CAS-003; secondary SEM-001/002/003/005, CAS-004/005/006/007.  Depends on: PR 1.</w:t>
      </w:r>
    </w:p>
    <w:p>
      <w:pPr>
        <w:keepNext w:val="0"/>
        <w:widowControl/>
        <w:spacing w:after="140"/>
      </w:pPr>
      <w:r>
        <w:rPr>
          <w:b/>
          <w:sz w:val="19"/>
        </w:rPr>
        <w:t>Existing files:</w:t>
      </w:r>
      <w:r>
        <w:rPr>
          <w:sz w:val="19"/>
        </w:rPr>
        <w:t xml:space="preserve"> src/proxy/capture_proxy.py; src/router/live_router.py, discriminator.py, episode.py, state.py, escalation_controller.py, escalate.py.</w:t>
      </w:r>
    </w:p>
    <w:p>
      <w:pPr>
        <w:keepNext w:val="0"/>
        <w:widowControl/>
        <w:spacing w:after="140"/>
      </w:pPr>
      <w:r>
        <w:rPr>
          <w:b/>
          <w:sz w:val="19"/>
        </w:rPr>
        <w:t>Proposed new files, only where extraction genuinely simplifies ownership:</w:t>
      </w:r>
      <w:r>
        <w:rPr>
          <w:sz w:val="19"/>
        </w:rPr>
        <w:t xml:space="preserve"> src/router/adapters/anthropic.py and src/router/execution.py.</w:t>
      </w:r>
    </w:p>
    <w:p>
      <w:pPr>
        <w:keepNext w:val="0"/>
        <w:widowControl/>
        <w:spacing w:after="80"/>
      </w:pPr>
      <w:r>
        <w:rPr>
          <w:b/>
        </w:rPr>
        <w:t>Changes:</w:t>
      </w:r>
      <w:r>
        <w:t xml:space="preserve"> separate protocol handling from routing judgment. Give interactions stable identity and continuity ownership; never merge unrelated anonymous sessions. Preserve native tools, IDs, ordering, cancellation and streaming. Execution owns intended, attempted and served models. Reuse routes without fresh advice; unknown boundaries never cause speculative switches.</w:t>
      </w:r>
    </w:p>
    <w:p>
      <w:pPr>
        <w:keepNext w:val="0"/>
        <w:widowControl/>
        <w:spacing w:after="80"/>
      </w:pPr>
      <w:r>
        <w:t>Allow bounded permitted retries before response commitment. After commitment, surface interruption and wait for a safe boundary; never silently replay tool-use content. Remove duplicate handoff mutation paths only after moving their behavior tests.</w:t>
      </w:r>
    </w:p>
    <w:p>
      <w:pPr>
        <w:keepNext w:val="0"/>
        <w:widowControl/>
        <w:spacing w:after="80"/>
      </w:pPr>
      <w:r>
        <w:rPr>
          <w:b/>
        </w:rPr>
        <w:t>Acceptance:</w:t>
      </w:r>
      <w:r>
        <w:t xml:space="preserve"> a user request plus multiple tool results causes one decision; concurrent sessions cannot borrow state; partial tool stream plus disconnect never causes a silent second-model replay; failed fallback does not become the served model; cancellation and unknown protocol preserve contract.</w:t>
      </w:r>
    </w:p>
    <w:p>
      <w:pPr>
        <w:keepNext w:val="0"/>
        <w:widowControl/>
        <w:spacing w:after="80"/>
      </w:pPr>
      <w:r>
        <w:rPr>
          <w:b/>
        </w:rPr>
        <w:t>Rollback:</w:t>
      </w:r>
      <w:r>
        <w:t xml:space="preserve"> adapter/optimization bypass to the guarded native path; preserve ledger records.</w:t>
      </w:r>
    </w:p>
    <w:p>
      <w:pPr>
        <w:keepNext w:val="0"/>
        <w:widowControl/>
        <w:spacing w:after="140"/>
      </w:pPr>
      <w:r>
        <w:rPr>
          <w:b/>
          <w:sz w:val="19"/>
        </w:rPr>
        <w:t>Key tests:</w:t>
      </w:r>
      <w:r>
        <w:rPr>
          <w:sz w:val="19"/>
        </w:rPr>
        <w:t xml:space="preserve"> tests/test_live_router.py, test_router_proxy.py, test_state.py, test_escalation_controller.py; existing tests/fixtures/handshakes/.</w:t>
      </w:r>
    </w:p>
    <w:p>
      <w:r>
        <w:br w:type="page"/>
      </w:r>
    </w:p>
    <w:p>
      <w:pPr>
        <w:pStyle w:val="Heading1"/>
      </w:pPr>
      <w:r>
        <w:rPr>
          <w:color w:val="000000"/>
        </w:rPr>
        <w:t>Build truthful memory and bounded advice</w:t>
      </w:r>
    </w:p>
    <w:p>
      <w:pPr>
        <w:pStyle w:val="Heading2"/>
      </w:pPr>
      <w:r>
        <w:rPr>
          <w:color w:val="000000"/>
        </w:rPr>
        <w:t>PR 3  Make evidence truthful before making it clever</w:t>
      </w:r>
    </w:p>
    <w:p>
      <w:pPr>
        <w:keepNext w:val="0"/>
        <w:widowControl/>
        <w:spacing w:after="120"/>
      </w:pPr>
      <w:r>
        <w:rPr>
          <w:sz w:val="19"/>
        </w:rPr>
        <w:t>Primary ADRL-MEM-001; secondary MEM-002/003/004/005/009, OPS-006.  Depends on: PRs 1-2.</w:t>
      </w:r>
    </w:p>
    <w:p>
      <w:pPr>
        <w:keepNext w:val="0"/>
        <w:widowControl/>
        <w:spacing w:after="140"/>
      </w:pPr>
      <w:r>
        <w:rPr>
          <w:b/>
          <w:sz w:val="19"/>
        </w:rPr>
        <w:t>Existing files:</w:t>
      </w:r>
      <w:r>
        <w:rPr>
          <w:sz w:val="19"/>
        </w:rPr>
        <w:t xml:space="preserve"> src/router/memory_ports.py, memory_sqlite.py, memory_facade.py, outcomes.py, live_verification.py, telemetry.py.</w:t>
      </w:r>
    </w:p>
    <w:p>
      <w:pPr>
        <w:keepNext w:val="0"/>
        <w:widowControl/>
        <w:spacing w:after="80"/>
      </w:pPr>
      <w:r>
        <w:rPr>
          <w:b/>
        </w:rPr>
        <w:t>Changes:</w:t>
      </w:r>
      <w:r>
        <w:t xml:space="preserve"> record stable route, attempt and event IDs. Keep recommendation, attempts and served response distinct. Preserve pending → closed_turn → closed_final and late evidence. Store verified success, failure or unknown; verifier provenance, cause, policy/advisor/harness/model versions and usage. Cloud success does not prove local sufficiency.</w:t>
      </w:r>
    </w:p>
    <w:p>
      <w:pPr>
        <w:keepNext w:val="0"/>
        <w:widowControl/>
        <w:spacing w:after="80"/>
      </w:pPr>
      <w:r>
        <w:t>Use additive migrations with backup, version checks and old-row compatibility. Preserve historical labels and frozen reports. Interrupted requests are incomplete. Expose recorder degradation; unrecorded traffic cannot support evaluation or promotion.</w:t>
      </w:r>
    </w:p>
    <w:p>
      <w:pPr>
        <w:keepNext w:val="0"/>
        <w:widowControl/>
        <w:spacing w:after="80"/>
      </w:pPr>
      <w:r>
        <w:t>Simplify storage to SQLite or an explicit disabled state; remove ambiguous False/None fallback chains.</w:t>
      </w:r>
    </w:p>
    <w:p>
      <w:pPr>
        <w:keepNext w:val="0"/>
        <w:widowControl/>
        <w:spacing w:after="80"/>
      </w:pPr>
      <w:r>
        <w:rPr>
          <w:b/>
        </w:rPr>
        <w:t>Acceptance:</w:t>
      </w:r>
      <w:r>
        <w:t xml:space="preserve"> duplicate events are idempotent; late verification attaches to the exact route; interrupted/fallback paths preserve actual facts; migration and reopen preserve old rows; full/locked database produces an explicit degraded state; secrets/raw prompts are not persisted.</w:t>
      </w:r>
    </w:p>
    <w:p>
      <w:pPr>
        <w:keepNext w:val="0"/>
        <w:widowControl/>
        <w:spacing w:after="80"/>
      </w:pPr>
      <w:r>
        <w:rPr>
          <w:b/>
        </w:rPr>
        <w:t>Rollback:</w:t>
      </w:r>
      <w:r>
        <w:t xml:space="preserve"> retain additive schema and old rows; disable optimization on incompatible state rather than down-migrate destructively.</w:t>
      </w:r>
    </w:p>
    <w:p>
      <w:pPr>
        <w:keepNext w:val="0"/>
        <w:widowControl/>
        <w:spacing w:after="140"/>
      </w:pPr>
      <w:r>
        <w:rPr>
          <w:b/>
          <w:sz w:val="19"/>
        </w:rPr>
        <w:t>Key tests:</w:t>
      </w:r>
      <w:r>
        <w:rPr>
          <w:sz w:val="19"/>
        </w:rPr>
        <w:t xml:space="preserve"> tests/test_memory_contract.py, test_memory_sqlite.py, test_memory_facade.py, test_outcomes.py, test_live_verification.py.</w:t>
      </w:r>
    </w:p>
    <w:p>
      <w:pPr>
        <w:pStyle w:val="Heading2"/>
      </w:pPr>
      <w:r>
        <w:rPr>
          <w:color w:val="000000"/>
        </w:rPr>
        <w:t>PR 4  Replace semantic routing machinery with one bounded Jev advisor</w:t>
      </w:r>
    </w:p>
    <w:p>
      <w:pPr>
        <w:keepNext w:val="0"/>
        <w:widowControl/>
        <w:spacing w:after="120"/>
      </w:pPr>
      <w:r>
        <w:rPr>
          <w:sz w:val="19"/>
        </w:rPr>
        <w:t>Primary ADRL-RTG-006; secondary RTG-002/003/005/008, SAF-001, LRN-004/005/006.  Depends on: PRs 1-3.</w:t>
      </w:r>
    </w:p>
    <w:p>
      <w:pPr>
        <w:keepNext w:val="0"/>
        <w:widowControl/>
        <w:spacing w:after="140"/>
      </w:pPr>
      <w:r>
        <w:rPr>
          <w:b/>
          <w:sz w:val="19"/>
        </w:rPr>
        <w:t>Existing files:</w:t>
      </w:r>
      <w:r>
        <w:rPr>
          <w:sz w:val="19"/>
        </w:rPr>
        <w:t xml:space="preserve"> src/router/llm_classifier.py, features.py, policy.py, backends.py, eval_classifier.py, live_router.py; config/backends.yaml.</w:t>
      </w:r>
    </w:p>
    <w:p>
      <w:pPr>
        <w:keepNext w:val="0"/>
        <w:widowControl/>
        <w:spacing w:after="140"/>
      </w:pPr>
      <w:r>
        <w:rPr>
          <w:b/>
          <w:sz w:val="19"/>
        </w:rPr>
        <w:t>Proposed new files:</w:t>
      </w:r>
      <w:r>
        <w:rPr>
          <w:sz w:val="19"/>
        </w:rPr>
        <w:t xml:space="preserve"> src/router/advisor.py and src/router/jev_advisor.py.</w:t>
      </w:r>
    </w:p>
    <w:p>
      <w:pPr>
        <w:keepNext w:val="0"/>
        <w:widowControl/>
        <w:spacing w:after="80"/>
      </w:pPr>
      <w:r>
        <w:rPr>
          <w:b/>
        </w:rPr>
        <w:t>Changes:</w:t>
      </w:r>
      <w:r>
        <w:t xml:space="preserve"> one typed contract returns exactly one authoritative permitted choice or abstention. Choose candidate or rung, not both; resolve endpoints separately. Check context permissions before payload construction. Share the parser across runtime and evaluation. Bound asynchronous I/O with one total deadline for connection, response, SDK and provider internal retries. Record advisor cost, latency and versions.</w:t>
      </w:r>
    </w:p>
    <w:p>
      <w:pPr>
        <w:keepNext w:val="0"/>
        <w:widowControl/>
        <w:spacing w:after="80"/>
      </w:pPr>
      <w:r>
        <w:t>Retire replaced lexicons, synthetic scores, duplicate tier/frontier answers, JSON repair and middle-only dispatch after caller coverage. Keep features needed for protocol, constraints and telemetry. Defer Laya; add no plugin framework.</w:t>
      </w:r>
    </w:p>
    <w:p>
      <w:pPr>
        <w:keepNext w:val="0"/>
        <w:widowControl/>
        <w:spacing w:after="80"/>
      </w:pPr>
      <w:r>
        <w:rPr>
          <w:b/>
        </w:rPr>
        <w:t>Acceptance:</w:t>
      </w:r>
      <w:r>
        <w:t xml:space="preserve"> mocked provider tests cover valid and unknown choices, malformed responses, timeout, rate limits, cancellation and abstention. Every result permits a route or controlled stop. Continuations skip redundant advice. Stalled calls do not block other streams; all retries respect the total deadline. This is not evidence from paid Jev traffic.</w:t>
      </w:r>
    </w:p>
    <w:p>
      <w:pPr>
        <w:keepNext w:val="0"/>
        <w:widowControl/>
        <w:spacing w:after="80"/>
      </w:pPr>
      <w:r>
        <w:rPr>
          <w:b/>
        </w:rPr>
        <w:t>Rollback:</w:t>
      </w:r>
      <w:r>
        <w:t xml:space="preserve"> disable Jev and use the guarded native baseline, not the deleted semantic stack.</w:t>
      </w:r>
    </w:p>
    <w:p>
      <w:r>
        <w:br w:type="page"/>
      </w:r>
    </w:p>
    <w:p>
      <w:pPr>
        <w:pStyle w:val="Heading1"/>
      </w:pPr>
      <w:r>
        <w:rPr>
          <w:color w:val="000000"/>
        </w:rPr>
        <w:t>Restore evidence access and prove the slice</w:t>
      </w:r>
    </w:p>
    <w:p>
      <w:pPr>
        <w:pStyle w:val="Heading2"/>
      </w:pPr>
      <w:r>
        <w:rPr>
          <w:color w:val="000000"/>
        </w:rPr>
        <w:t>PR 5  Keep memory enrichment and the graph off the response path</w:t>
      </w:r>
    </w:p>
    <w:p>
      <w:pPr>
        <w:keepNext w:val="0"/>
        <w:widowControl/>
        <w:spacing w:after="120"/>
      </w:pPr>
      <w:r>
        <w:rPr>
          <w:sz w:val="19"/>
        </w:rPr>
        <w:t>Primary ADRL-MEM-007; secondary MEM-001/005/006/008, OPS-001/006.  Depends on: PR 3; can progress alongside PR 4.</w:t>
      </w:r>
    </w:p>
    <w:p>
      <w:pPr>
        <w:keepNext w:val="0"/>
        <w:widowControl/>
        <w:spacing w:after="140"/>
      </w:pPr>
      <w:r>
        <w:rPr>
          <w:b/>
          <w:sz w:val="19"/>
        </w:rPr>
        <w:t>Existing files:</w:t>
      </w:r>
      <w:r>
        <w:rPr>
          <w:sz w:val="19"/>
        </w:rPr>
        <w:t xml:space="preserve"> src/router/memory_facade.py, memory_backfill.py, memory_sqlite.py, graph_lite.py, insights.py.</w:t>
      </w:r>
    </w:p>
    <w:p>
      <w:pPr>
        <w:keepNext w:val="0"/>
        <w:widowControl/>
        <w:spacing w:after="80"/>
      </w:pPr>
      <w:r>
        <w:rPr>
          <w:b/>
        </w:rPr>
        <w:t>Changes:</w:t>
      </w:r>
      <w:r>
        <w:t xml:space="preserve"> append essential evidence before optional enrichment. Move embedding calls off synchronous planning. Use a bounded in-process worker and SQLite checkpoint, with one projection writer and deterministic, idempotent replay. Do not retain raw prompts for replay; optional non-recoverable embeddings stay missing.</w:t>
      </w:r>
    </w:p>
    <w:p>
      <w:pPr>
        <w:keepNext w:val="0"/>
        <w:widowControl/>
        <w:spacing w:after="80"/>
      </w:pPr>
      <w:r>
        <w:t>Deliver three CLI/query contracts: explain a route; find repeated verified failures; trace evidence for a proposed change. Cite underlying events and distinguish observation from inference. Keep useful neighbor and multi-hop traversal; defer unrecorded ancestry. The graph has no routing authority.</w:t>
      </w:r>
    </w:p>
    <w:p>
      <w:pPr>
        <w:keepNext w:val="0"/>
        <w:widowControl/>
        <w:spacing w:after="80"/>
      </w:pPr>
      <w:r>
        <w:rPr>
          <w:b/>
        </w:rPr>
        <w:t>Acceptance:</w:t>
      </w:r>
      <w:r>
        <w:t xml:space="preserve"> slow/offline embedder and stale/missing graph do not delay advice/dispatch; crash/restart resumes projection without duplicate edges; rebuilt queries reproduce recorded facts; private turns produce no prohibited embedding/hash. SQLite lock contention stays within the declared response budget.</w:t>
      </w:r>
    </w:p>
    <w:p>
      <w:pPr>
        <w:keepNext w:val="0"/>
        <w:widowControl/>
        <w:spacing w:after="80"/>
      </w:pPr>
      <w:r>
        <w:rPr>
          <w:b/>
        </w:rPr>
        <w:t>Rollback:</w:t>
      </w:r>
      <w:r>
        <w:t xml:space="preserve"> stop enrichment and rebuild derived tables; never delete authoritative ledger events.</w:t>
      </w:r>
    </w:p>
    <w:p>
      <w:pPr>
        <w:pStyle w:val="Heading2"/>
      </w:pPr>
      <w:r>
        <w:rPr>
          <w:color w:val="000000"/>
        </w:rPr>
        <w:t>PR 6  Prove the Claude Code slice and remove obsolete paths</w:t>
      </w:r>
    </w:p>
    <w:p>
      <w:pPr>
        <w:keepNext w:val="0"/>
        <w:widowControl/>
        <w:spacing w:after="120"/>
      </w:pPr>
      <w:r>
        <w:rPr>
          <w:sz w:val="19"/>
        </w:rPr>
        <w:t>Primary ADRL-EVL-006; secondary EVL-001/002/003/004/005/007/008, LRN-001/002/007, OPS-004/008.  Depends on: PRs 1-5.</w:t>
      </w:r>
    </w:p>
    <w:p>
      <w:pPr>
        <w:keepNext w:val="0"/>
        <w:widowControl/>
        <w:spacing w:after="140"/>
      </w:pPr>
      <w:r>
        <w:rPr>
          <w:b/>
          <w:sz w:val="19"/>
        </w:rPr>
        <w:t>Existing files:</w:t>
      </w:r>
      <w:r>
        <w:rPr>
          <w:sz w:val="19"/>
        </w:rPr>
        <w:t xml:space="preserve"> src/router/counterfactual.py, verifier.py, learning_contract.py, learning_readiness.py; tests/test_counterfactual.py; docs/adr-index.md, README.md; .github/workflows/test.yml.</w:t>
      </w:r>
    </w:p>
    <w:p>
      <w:pPr>
        <w:keepNext w:val="0"/>
        <w:widowControl/>
        <w:spacing w:after="80"/>
      </w:pPr>
      <w:r>
        <w:t>Proposed new report: reports/jev-claude-pilot.md.</w:t>
      </w:r>
    </w:p>
    <w:p>
      <w:pPr>
        <w:keepNext w:val="0"/>
        <w:widowControl/>
        <w:spacing w:after="80"/>
      </w:pPr>
      <w:r>
        <w:rPr>
          <w:b/>
        </w:rPr>
        <w:t>Changes:</w:t>
      </w:r>
      <w:r>
        <w:t xml:space="preserve"> freeze sanitized tasks, snapshots, versions and held-out repositories/time periods. Compare frontier-only, constrained simple-local-first and Jev. Retain applicable EVL-001 best-single, heuristic and classifier baselines; reuse compatible frozen evidence. Count advice, embeddings, retries, escalation, caching and verification in cost per verified task. Measure quality, latency, reliability and privacy separately.</w:t>
      </w:r>
    </w:p>
    <w:p>
      <w:pPr>
        <w:keepNext w:val="0"/>
        <w:widowControl/>
        <w:spacing w:after="80"/>
      </w:pPr>
      <w:r>
        <w:t>Progress from fixtures to offline/replay, authorized shadow, constrained canary and a graduation decision. Declare quality margin, latency tolerance, cost ceiling, stop criteria and rollback before paid/live runs. Preserve existing retrieval graduation gates.</w:t>
      </w:r>
    </w:p>
    <w:p>
      <w:pPr>
        <w:keepNext w:val="0"/>
        <w:widowControl/>
        <w:spacing w:after="80"/>
      </w:pPr>
      <w:r>
        <w:t>Remove proven-unused role configuration, duplicate policy and obsolete documentation after coverage. Keep old reports; do not expand simulator infrastructure.</w:t>
      </w:r>
    </w:p>
    <w:p>
      <w:pPr>
        <w:keepNext w:val="0"/>
        <w:widowControl/>
        <w:spacing w:after="80"/>
      </w:pPr>
      <w:r>
        <w:rPr>
          <w:b/>
        </w:rPr>
        <w:t>Acceptance:</w:t>
      </w:r>
      <w:r>
        <w:t xml:space="preserve"> safety/stream tests pass; sufficient representative verified tasks support declared comparisons; no quality loss beyond agreed margin; canary kill switch is rehearsed and records its effect. No “ready” claim from an attractive average or empty hard-case cohort.</w:t>
      </w:r>
    </w:p>
    <w:p>
      <w:pPr>
        <w:keepNext w:val="0"/>
        <w:widowControl/>
        <w:spacing w:after="80"/>
      </w:pPr>
      <w:r>
        <w:rPr>
          <w:b/>
        </w:rPr>
        <w:t>Rollback:</w:t>
      </w:r>
      <w:r>
        <w:t xml:space="preserve"> stop canary and restore guarded native routing; keep failed evidence.</w:t>
      </w:r>
    </w:p>
    <w:p>
      <w:r>
        <w:br w:type="page"/>
      </w:r>
    </w:p>
    <w:p>
      <w:pPr>
        <w:pStyle w:val="Heading1"/>
      </w:pPr>
      <w:r>
        <w:rPr>
          <w:color w:val="000000"/>
        </w:rPr>
        <w:t>Add Codex after the Claude slice is proven</w:t>
      </w:r>
    </w:p>
    <w:p>
      <w:pPr>
        <w:pStyle w:val="Heading2"/>
      </w:pPr>
      <w:r>
        <w:rPr>
          <w:color w:val="000000"/>
        </w:rPr>
        <w:t>PR 7  Add Codex without forking the core</w:t>
      </w:r>
    </w:p>
    <w:p>
      <w:pPr>
        <w:keepNext w:val="0"/>
        <w:widowControl/>
        <w:spacing w:after="120"/>
      </w:pPr>
      <w:r>
        <w:rPr>
          <w:sz w:val="19"/>
        </w:rPr>
        <w:t>Primary ADRL-SEM-001; secondary FND-001, SEM-002/003/004, CAS-003/004, EVL-008.  Depends on: proven Claude slice from PR 6.</w:t>
      </w:r>
    </w:p>
    <w:p>
      <w:pPr>
        <w:keepNext w:val="0"/>
        <w:widowControl/>
        <w:spacing w:after="140"/>
      </w:pPr>
      <w:r>
        <w:rPr>
          <w:b/>
          <w:sz w:val="19"/>
        </w:rPr>
        <w:t>Proposed new file:</w:t>
      </w:r>
      <w:r>
        <w:rPr>
          <w:sz w:val="19"/>
        </w:rPr>
        <w:t xml:space="preserve"> src/router/adapters/codex.py, named for the verified wire protocol rather than assuming generic OpenAI compatibility.</w:t>
      </w:r>
    </w:p>
    <w:p>
      <w:pPr>
        <w:keepNext w:val="0"/>
        <w:widowControl/>
        <w:spacing w:after="80"/>
      </w:pPr>
      <w:r>
        <w:rPr>
          <w:b/>
        </w:rPr>
        <w:t>Changes:</w:t>
      </w:r>
      <w:r>
        <w:t xml:space="preserve"> capture authorized current Codex protocol fixtures; implement only decoding/encoding and identity/continuity differences. Reuse advisor, constraints, execution and ledger. No copied policy or second state machine.</w:t>
      </w:r>
    </w:p>
    <w:p>
      <w:pPr>
        <w:keepNext w:val="0"/>
        <w:widowControl/>
        <w:spacing w:after="80"/>
      </w:pPr>
      <w:r>
        <w:rPr>
          <w:b/>
        </w:rPr>
        <w:t>Acceptance:</w:t>
      </w:r>
      <w:r>
        <w:t xml:space="preserve"> identical core contract tests plus Codex-specific tools, streaming, cancellation, utility and unknown-message cases. Run equivalent quality/cost checks before a separate Codex canary; Claude evidence alone does not establish portability.</w:t>
      </w:r>
    </w:p>
    <w:p>
      <w:pPr>
        <w:keepNext w:val="0"/>
        <w:widowControl/>
        <w:spacing w:after="80"/>
      </w:pPr>
      <w:r>
        <w:rPr>
          <w:b/>
        </w:rPr>
        <w:t>Rollback:</w:t>
      </w:r>
      <w:r>
        <w:t xml:space="preserve"> disable only Codex adapter; Claude remains unaffected.</w:t>
      </w:r>
    </w:p>
    <w:p>
      <w:pPr>
        <w:pStyle w:val="Heading2"/>
      </w:pPr>
      <w:r>
        <w:rPr>
          <w:color w:val="000000"/>
        </w:rPr>
        <w:t>Release in evidence based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Evidence required before moving 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1  Deterministic fixtures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Protocol, constraint, retry, cancellation, ledger and failure cases pass against fixed inputs.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2  Offline and replay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Frozen tasks, snapshots and versions produce attributable results; held out repositories and time periods protect the comparison.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3  Authorized shadow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Provider and data scope, credentials, spend and concurrency are approved. Results remain observational.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4  Constrained canary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Quality, latency, cost and reliability limits are declared; stop criteria and kill switch are rehearsed.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5  Graduation decision</w:t>
            </w:r>
          </w:p>
        </w:tc>
        <w:tc>
          <w:tcPr>
            <w:tcW w:type="dxa" w:w="79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Representative verified evidence supports the release. Existing retrieval graduation gates remain intact.</w:t>
            </w:r>
          </w:p>
        </w:tc>
      </w:tr>
    </w:tbl>
    <w:p>
      <w:pPr>
        <w:keepNext w:val="0"/>
        <w:widowControl/>
        <w:spacing w:after="40"/>
      </w:pPr>
      <w:r/>
    </w:p>
    <w:p>
      <w:pPr>
        <w:keepNext w:val="0"/>
        <w:widowControl/>
      </w:pPr>
      <w:r>
        <w:t>Evaluate quality, latency, retries, reliability and privacy separately. Compare frontier only, constrained simple local first and Jev, while retaining applicable EVL-001 baselines. Include advice, embeddings, retries, escalation, cache effects and verification in cost per verified completed task.</w:t>
      </w:r>
    </w:p>
    <w:p>
      <w:pPr>
        <w:keepNext w:val="0"/>
        <w:widowControl/>
      </w:pPr>
      <w:r>
        <w:rPr>
          <w:b/>
        </w:rPr>
        <w:t>Stop and roll back to guarded native routing when declared limits fail.</w:t>
      </w:r>
      <w:r>
        <w:t xml:space="preserve"> Preserve failed and incomplete evidence. A favorable average or an empty hard case cohort is not a readiness claim.</w:t>
      </w:r>
    </w:p>
    <w:p>
      <w:r>
        <w:br w:type="page"/>
      </w:r>
    </w:p>
    <w:p>
      <w:pPr>
        <w:pStyle w:val="Heading1"/>
      </w:pPr>
      <w:r>
        <w:rPr>
          <w:color w:val="000000"/>
        </w:rPr>
        <w:t>Taxonomy and engineering checks</w:t>
      </w:r>
    </w:p>
    <w:p>
      <w:pPr>
        <w:keepNext w:val="0"/>
        <w:widowControl/>
      </w:pPr>
      <w:r>
        <w:t>The nine buckets remain ownership categories, not nine runtime services. Each PR carries one primary ID and genuine secondary owners. All IDs use ADRL-; secondary entries abbreviate that prefix. The plan is anchored in ADRL-FND-001. It proposes contract changes but changes no repository decision state or maturity.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92"/>
        <w:gridCol w:w="4896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Exact category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Main plan touchpoints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FND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System Boundary and Principles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One core process and one database; conditional fail open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SEM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Interaction Semantics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Protocol, identity and boundary rules in PRs 2 and 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SAF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Safety, Privacy, and Hard Constraints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All outbound paths constrained in PR 1; advisor in PR 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RTG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Routing Intelligence and Economics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One authoritative advisor choice in PR 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CAS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Execution, Cascade, and Recovery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One execution owner and safe streaming in PR 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MEM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Memory, Evidence, and Label Integrity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Authoritative facts in PR 3; projections in PR 5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LRN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Learning and Adaptation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Provenance, held out evidence and unchanged promotion gates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EVL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Evaluation, Graduation, and Rollout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Measured comparisons in PR 6; separate Codex proof in PR 7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OPS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Platform, Runtime, and Operations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Bounded runtime, failure handling, CI and kill switch</w:t>
            </w:r>
          </w:p>
        </w:tc>
      </w:tr>
    </w:tbl>
    <w:p>
      <w:pPr>
        <w:keepNext w:val="0"/>
        <w:widowControl/>
        <w:spacing w:after="40"/>
      </w:pPr>
      <w:r/>
    </w:p>
    <w:p>
      <w:pPr>
        <w:pStyle w:val="Heading2"/>
      </w:pPr>
      <w:r>
        <w:rPr>
          <w:color w:val="000000"/>
        </w:rPr>
        <w:t>Checks to run during implementation</w:t>
      </w:r>
    </w:p>
    <w:p>
      <w:pPr>
        <w:keepNext w:val="0"/>
        <w:widowControl/>
      </w:pPr>
      <w:r>
        <w:t>Run focused tests for each PR first, then the existing full suite. These are future checks, not executed results.</w:t>
      </w:r>
    </w:p>
    <w:p>
      <w:pPr>
        <w:keepNext w:val="0"/>
        <w:widowControl/>
      </w:pPr>
      <w:r>
        <w:rPr>
          <w:sz w:val="20"/>
        </w:rPr>
        <w:t>PYTHONPATH=src .venv/bin/python -m pytest tests -q</w:t>
      </w:r>
    </w:p>
    <w:p>
      <w:pPr>
        <w:keepNext w:val="0"/>
        <w:widowControl/>
      </w:pPr>
      <w:r>
        <w:rPr>
          <w:sz w:val="20"/>
        </w:rPr>
        <w:t>python3 tools/check_adr_taxonomy.py</w:t>
      </w:r>
    </w:p>
    <w:p>
      <w:pPr>
        <w:keepNext w:val="0"/>
        <w:widowControl/>
      </w:pPr>
      <w:r>
        <w:t>Compile sources and validate readiness artifacts as required by existing CI. If ADR maturity or readiness changes, run the repository learning_readiness --persist and check_readiness_score.py workflow. Link actual evidence before advancing D0-D5 maturity.</w:t>
      </w:r>
    </w:p>
    <w:p>
      <w:pPr>
        <w:keepNext w:val="0"/>
        <w:widowControl/>
      </w:pPr>
      <w:r>
        <w:rPr>
          <w:sz w:val="20"/>
        </w:rPr>
        <w:t>Keep stable ADR IDs and history, or explicitly supersede rows through the index procedure. Never rewrite frozen reports or claim untested behavior as tested.</w:t>
      </w:r>
    </w:p>
    <w:p>
      <w:r>
        <w:br w:type="page"/>
      </w:r>
    </w:p>
    <w:p>
      <w:pPr>
        <w:pStyle w:val="Heading1"/>
      </w:pPr>
      <w:r>
        <w:rPr>
          <w:color w:val="000000"/>
        </w:rPr>
        <w:t>Decisions before implementation and live use</w:t>
      </w:r>
    </w:p>
    <w:p>
      <w:pPr>
        <w:pStyle w:val="Heading2"/>
      </w:pPr>
      <w:r>
        <w:rPr>
          <w:color w:val="000000"/>
        </w:rPr>
        <w:t>To start repository implementation</w:t>
      </w:r>
    </w:p>
    <w:p>
      <w:pPr>
        <w:pStyle w:val="ListBullet"/>
        <w:spacing w:after="120"/>
      </w:pPr>
      <w:r>
        <w:t>Authorize repository execution and select the environment.</w:t>
      </w:r>
    </w:p>
    <w:p>
      <w:pPr>
        <w:pStyle w:val="ListBullet"/>
        <w:spacing w:after="120"/>
      </w:pPr>
      <w:r>
        <w:t>Agree the single authoritative advisor choice representation and protocol backed continuation boundaries as part of the first contract changes.</w:t>
      </w:r>
    </w:p>
    <w:p>
      <w:pPr>
        <w:pStyle w:val="Heading2"/>
      </w:pPr>
      <w:r>
        <w:rPr>
          <w:color w:val="000000"/>
        </w:rPr>
        <w:t>Before any paid or live run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Choice to approve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0394C"/>
          </w:tcPr>
          <w:p>
            <w:pPr>
              <w:spacing w:after="40" w:before="40" w:line="252" w:lineRule="auto"/>
            </w:pPr>
            <w:r>
              <w:rPr>
                <w:b/>
                <w:color w:val="FFFFFF"/>
                <w:sz w:val="21"/>
              </w:rPr>
              <w:t>What must be explicit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Provider and data scope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Which advisors and execution destinations may receive which context; supported credential setup.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Model candidates and fallback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Permitted candidate set, capabilities and a configured native fallback that never expands permissions.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Runtime and spend limits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Total advisor deadline, provider retry limits, concurrency and spend ceilings.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Acceptance tolerances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Quality non-inferiority margin, latency and reliability tolerances, cost ceiling and representative verification coverage.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Release controls</w:t>
            </w:r>
          </w:p>
        </w:tc>
        <w:tc>
          <w:tcPr>
            <w:tcW w:type="dxa" w:w="75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21"/>
              </w:rPr>
              <w:t>Shadow and canary scope, stop criteria, rollback owner and kill switch procedure.</w:t>
            </w:r>
          </w:p>
        </w:tc>
      </w:tr>
    </w:tbl>
    <w:p>
      <w:pPr>
        <w:keepNext w:val="0"/>
        <w:widowControl/>
        <w:spacing w:after="40"/>
      </w:pPr>
      <w:r/>
    </w:p>
    <w:p>
      <w:pPr>
        <w:keepNext w:val="0"/>
        <w:widowControl/>
      </w:pPr>
      <w:r>
        <w:t>Preparatory code and mocked tests do not require invented live choices. No calendar duration is committed; advance when the dependency and acceptance evidence for each stage is satisfied.</w:t>
      </w:r>
    </w:p>
    <w:p>
      <w:pPr>
        <w:pStyle w:val="Heading2"/>
      </w:pPr>
      <w:r>
        <w:rPr>
          <w:color w:val="000000"/>
        </w:rPr>
        <w:t>Reviewed sources</w:t>
      </w:r>
    </w:p>
    <w:p>
      <w:pPr>
        <w:keepNext w:val="0"/>
        <w:widowControl/>
      </w:pPr>
      <w:r>
        <w:rPr>
          <w:sz w:val="20"/>
        </w:rPr>
        <w:t>GitHub main reviewed at 20ca99d on 27 October 2026. Links below are pinned to that full revision. The separate architecture diagram describes the same proposed design; it is not implementation evidence.</w:t>
      </w:r>
    </w:p>
    <w:p>
      <w:pPr>
        <w:spacing w:after="140"/>
      </w:pPr>
      <w:hyperlink r:id="rId11">
        <w:r>
          <w:rPr>
            <w:color w:val="204F6B"/>
            <w:u w:val="single"/>
          </w:rPr>
          <w:t>ADR index and decision taxonomy</w:t>
        </w:r>
      </w:hyperlink>
    </w:p>
    <w:p>
      <w:pPr>
        <w:spacing w:after="140"/>
      </w:pPr>
      <w:hyperlink r:id="rId12">
        <w:r>
          <w:rPr>
            <w:color w:val="204F6B"/>
            <w:u w:val="single"/>
          </w:rPr>
          <w:t>Repository instructions</w:t>
        </w:r>
      </w:hyperlink>
    </w:p>
    <w:p>
      <w:pPr>
        <w:spacing w:after="140"/>
      </w:pPr>
      <w:hyperlink r:id="rId13">
        <w:r>
          <w:rPr>
            <w:color w:val="204F6B"/>
            <w:u w:val="single"/>
          </w:rPr>
          <w:t>Existing CI checks</w:t>
        </w:r>
      </w:hyperlink>
    </w:p>
    <w:p>
      <w:pPr>
        <w:spacing w:after="140"/>
      </w:pPr>
      <w:hyperlink r:id="rId14">
        <w:r>
          <w:rPr>
            <w:color w:val="204F6B"/>
            <w:u w:val="single"/>
          </w:rPr>
          <w:t>Live routing and execution integration</w:t>
        </w:r>
      </w:hyperlink>
    </w:p>
    <w:p>
      <w:pPr>
        <w:spacing w:after="140"/>
      </w:pPr>
      <w:hyperlink r:id="rId15">
        <w:r>
          <w:rPr>
            <w:color w:val="204F6B"/>
            <w:u w:val="single"/>
          </w:rPr>
          <w:t>Harness capture and proxy behavior</w:t>
        </w:r>
      </w:hyperlink>
    </w:p>
    <w:p>
      <w:pPr>
        <w:spacing w:after="140"/>
      </w:pPr>
      <w:hyperlink r:id="rId16">
        <w:r>
          <w:rPr>
            <w:color w:val="204F6B"/>
            <w:u w:val="single"/>
          </w:rPr>
          <w:t>Memory contract</w:t>
        </w:r>
      </w:hyperlink>
    </w:p>
    <w:p>
      <w:pPr>
        <w:spacing w:after="140"/>
      </w:pPr>
      <w:hyperlink r:id="rId17">
        <w:r>
          <w:rPr>
            <w:color w:val="204F6B"/>
            <w:u w:val="single"/>
          </w:rPr>
          <w:t>Memory facade and enrichment integration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27 October 2026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7"/>
      </w:rPr>
      <w:t>ADRL  / 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Liberation Sans" w:hAnsi="Liberation Sans" w:eastAsia="Liberation Sans" w:cs="Liberation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52" w:lineRule="auto"/>
      <w:outlineLvl w:val="0"/>
    </w:pPr>
    <w:rPr>
      <w:rFonts w:cstheme="majorBidi" w:ascii="Liberation Sans" w:hAnsi="Liberation Sans" w:eastAsia="Liberation Sans" w:cs="Liberation San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2" w:lineRule="auto"/>
      <w:outlineLvl w:val="1"/>
    </w:pPr>
    <w:rPr>
      <w:rFonts w:cstheme="majorBidi" w:ascii="Liberation Sans" w:hAnsi="Liberation Sans" w:eastAsia="Liberation Sans" w:cs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2" w:lineRule="auto"/>
      <w:outlineLvl w:val="2"/>
    </w:pPr>
    <w:rPr>
      <w:rFonts w:cstheme="majorBidi" w:ascii="Liberation Sans" w:hAnsi="Liberation Sans" w:eastAsia="Liberation Sans" w:cs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2" w:lineRule="auto"/>
      <w:contextualSpacing/>
    </w:pPr>
    <w:rPr>
      <w:rFonts w:cstheme="majorBidi" w:ascii="Liberation Sans" w:hAnsi="Liberation Sans" w:eastAsia="Liberation Sans" w:cs="Liberation Sans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80" w:line="252" w:lineRule="auto"/>
    </w:pPr>
    <w:rPr>
      <w:rFonts w:cstheme="majorBidi" w:ascii="Liberation Sans" w:hAnsi="Liberation Sans" w:eastAsia="Liberation Sans" w:cs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2" w:lineRule="auto"/>
      <w:contextualSpacing/>
    </w:pPr>
    <w:rPr>
      <w:rFonts w:ascii="Liberation Sans" w:hAnsi="Liberation Sans" w:eastAsia="Liberation Sans" w:cs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2" w:lineRule="auto"/>
      <w:contextualSpacing/>
    </w:pPr>
    <w:rPr>
      <w:rFonts w:ascii="Liberation Sans" w:hAnsi="Liberation Sans" w:eastAsia="Liberation Sans" w:cs="Liberation Sans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20"/>
    </w:pPr>
    <w:rPr>
      <w:rFonts w:ascii="Liberation Sans" w:hAnsi="Liberation Sans" w:eastAsia="Liberation Sans" w:cs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runmenon/adrl/blob/20ca99dab5cf04d1076dde0c6437f8bd77fa13cc/docs/adr-index.md" TargetMode="External"/><Relationship Id="rId12" Type="http://schemas.openxmlformats.org/officeDocument/2006/relationships/hyperlink" Target="https://github.com/arunmenon/adrl/blob/20ca99dab5cf04d1076dde0c6437f8bd77fa13cc/AGENTS.md" TargetMode="External"/><Relationship Id="rId13" Type="http://schemas.openxmlformats.org/officeDocument/2006/relationships/hyperlink" Target="https://github.com/arunmenon/adrl/blob/20ca99dab5cf04d1076dde0c6437f8bd77fa13cc/.github/workflows/test.yml" TargetMode="External"/><Relationship Id="rId14" Type="http://schemas.openxmlformats.org/officeDocument/2006/relationships/hyperlink" Target="https://github.com/arunmenon/adrl/blob/20ca99dab5cf04d1076dde0c6437f8bd77fa13cc/src/router/live_router.py" TargetMode="External"/><Relationship Id="rId15" Type="http://schemas.openxmlformats.org/officeDocument/2006/relationships/hyperlink" Target="https://github.com/arunmenon/adrl/blob/20ca99dab5cf04d1076dde0c6437f8bd77fa13cc/src/proxy/capture_proxy.py" TargetMode="External"/><Relationship Id="rId16" Type="http://schemas.openxmlformats.org/officeDocument/2006/relationships/hyperlink" Target="https://github.com/arunmenon/adrl/blob/20ca99dab5cf04d1076dde0c6437f8bd77fa13cc/src/router/memory_ports.py" TargetMode="External"/><Relationship Id="rId17" Type="http://schemas.openxmlformats.org/officeDocument/2006/relationships/hyperlink" Target="https://github.com/arunmenon/adrl/blob/20ca99dab5cf04d1076dde0c6437f8bd77fa13cc/src/router/memory_facad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ADRL implementation plan 27 October 2026</dc:title>
  <dc:subject>Staged implementation plan for a constrained ADRL routing core</dc:subject>
  <dc:creator/>
  <cp:keywords>ADRL, implementation plan, Jev, Claude Code, Codex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