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4"/>
        </w:rPr>
        <w:t>Gisting a Coding Agent: Prompt Compression by Learned Tokens on a Self-Hosted Hybrid-Attention Model</w:t>
      </w:r>
    </w:p>
    <w:p>
      <w:pPr>
        <w:jc w:val="center"/>
      </w:pPr>
      <w:r>
        <w:rPr>
          <w:color w:val="565B62"/>
          <w:sz w:val="20"/>
        </w:rPr>
        <w:t>Arun Menon · arumenon@paypal.com</w:t>
      </w:r>
    </w:p>
    <w:p>
      <w:pPr>
        <w:ind w:left="432" w:right="432"/>
      </w:pPr>
      <w:r>
        <w:rPr>
          <w:b/>
        </w:rPr>
        <w:t>Abstract.</w:t>
      </w:r>
      <w:r>
        <w:t xml:space="preserve"> A coding agent asks a language model what to do at each step, and every request begins with the same large fixed block of text: the rules the agent must follow and a machine-readable description (a JSON schema) of every tool it may call. The model rereads this whole block on every turn, so it is a large cost paid again and again. We study </w:t>
      </w:r>
      <w:r>
        <w:rPr>
          <w:i/>
        </w:rPr>
        <w:t>gisting</w:t>
      </w:r>
      <w:r>
        <w:t xml:space="preserve">: replacing that fixed block with a handful of new </w:t>
      </w:r>
      <w:r>
        <w:rPr>
          <w:i/>
        </w:rPr>
        <w:t>gist tokens</w:t>
      </w:r>
      <w:r>
        <w:t xml:space="preserve">, extra entries added to the model’s vocabulary that are trained to stand in for the entire block. The training is </w:t>
      </w:r>
      <w:r>
        <w:rPr>
          <w:i/>
        </w:rPr>
        <w:t>self-distillation</w:t>
      </w:r>
      <w:r>
        <w:t>, meaning the model teaches itself by matching its own behaviour when it reads the short gist to its behaviour when it reads the full block; all of the model’s existing weights are frozen, so the only thing learned is the new tokens. We do this for a production coding agent (Claude Code) driving a 27B-parameter model we host ourselves (Qwen3.8-27B, a hybrid-attention design), inserting the substitution inside a proxy so that neither the client nor the serving engine is changed. Earlier work compressed plain-English instructions this way; here the block is over 90 percent tool schemas, so the open question is how much carries over.</w:t>
      </w:r>
    </w:p>
    <w:p>
      <w:pPr>
        <w:ind w:left="432" w:right="432"/>
      </w:pPr>
      <w:r>
        <w:t xml:space="preserve">The study runs in phases, and we report each as it came, the parts that failed included. We first </w:t>
      </w:r>
      <w:r>
        <w:rPr>
          <w:b/>
        </w:rPr>
        <w:t>measure</w:t>
      </w:r>
      <w:r>
        <w:t xml:space="preserve"> the fixed block from real logged sessions, both to confirm it is large enough to be worth compressing and to separate the genuinely fixed text from the per-session details woven through it. We then </w:t>
      </w:r>
      <w:r>
        <w:rPr>
          <w:b/>
        </w:rPr>
        <w:t>build the gist</w:t>
      </w:r>
      <w:r>
        <w:t xml:space="preserve">: grow the model’s vocabulary with new tokens, start them from the block they replace, and train them by self-distillation, recording the teacher once so that each later recipe is cheap to try. With that loop in place we </w:t>
      </w:r>
      <w:r>
        <w:rPr>
          <w:b/>
        </w:rPr>
        <w:t>push the compression</w:t>
      </w:r>
      <w:r>
        <w:t xml:space="preserve"> harder and harder to find where behaviour breaks, and </w:t>
      </w:r>
      <w:r>
        <w:rPr>
          <w:b/>
        </w:rPr>
        <w:t>stress it</w:t>
      </w:r>
      <w:r>
        <w:t xml:space="preserve"> by moving from an easy task suite to a harder one built around rarely used tools, real repositories, and tasks that demand exact output; there we uncover a failure at the boundary between fixed and per-session content, which we diagnose, repair, and re-test. Finally we </w:t>
      </w:r>
      <w:r>
        <w:rPr>
          <w:b/>
        </w:rPr>
        <w:t>measure what the compression buys</w:t>
      </w:r>
      <w:r>
        <w:t xml:space="preserve"> at serving time, first in a single replay and then in a tuned, repeated benchmark on two GPU classes, and we report two experiments that our own evaluation harness left unscorable. The detailed numbers and their limits are in the body; here we say only that they motivate further work rather than settle it. Because every result is a single run of small, partly reused, hand-built tasks, we present this as a development study rather than a validated benchmark, with an independent adversarial review of the whole program reconciled into it. The short version, within those limits: the method cut the tokens the model reads each turn by roughly half to two-thirds with no measured loss of task success, once session-specific values were kept out of the gist; in a subsequent tuned, repeated serving benchmark it let the same GPU sustain twice the request rate within a latency objective and delivered 44 percent higher peak throughput, a finite-window replay result incremental over prefix caching whose mechanism and deployment cost implications remain unestablished; what we have not shown is that task behaviour holds on work we did not design.</w:t>
      </w:r>
    </w:p>
    <w:p>
      <w:pPr>
        <w:pStyle w:val="Heading1"/>
      </w:pPr>
      <w:r>
        <w:rPr>
          <w:rFonts w:ascii="Consolas" w:hAnsi="Consolas"/>
          <w:b/>
          <w:color w:val="1F5F6E"/>
        </w:rPr>
        <w:t xml:space="preserve">1 </w:t>
      </w:r>
      <w:r>
        <w:t>Introduction</w:t>
      </w:r>
    </w:p>
    <w:p>
      <w:r>
        <w:t xml:space="preserve">A coding agent asks a language model what to do next at every step. Each request carries a fixed preamble: the rules the agent must obey and a JSON schema for every tool it can call. In a standard transformer, every generated token attends back over that preamble, so a preamble of tens of thousands of tokens is a large recurring cost. Prior work on </w:t>
      </w:r>
      <w:r>
        <w:rPr>
          <w:i/>
        </w:rPr>
        <w:t>gist tokens</w:t>
      </w:r>
      <w:r>
        <w:t xml:space="preserve"> [1] and prompt compression [2] compressed prose instructions; an industrial report [3] applied the idea to a production agent and observed substantial latency and hardware savings. Those results leave open how the method behaves for an agent whose preamble is dominated by tool schemas, on a model an operator hosts themselves, and on an architecture where the decode-time cost the method targets is present in only a fraction of layers.</w:t>
      </w:r>
    </w:p>
    <w:p>
      <w:r>
        <w:t>We answer these questions for one concrete target: Claude Code 2.1.259 driving Qwen3.8-27B served by vLLM on a single 96 GB GPU. Two properties make it a demanding test. The preamble is 91 percent JSON tool schemas. And the model is a hybrid: of its 64 layers, only 16 use full attention with a per-token cache over the prefix; the other 48 fold the prefix into a fixed-size recurrent state, so a shorter prefix cannot reduce their decode cost.</w:t>
      </w:r>
    </w:p>
    <w:p>
      <w:r>
        <w:rPr>
          <w:b/>
        </w:rPr>
        <w:t>Intuition.</w:t>
      </w:r>
      <w:r>
        <w:t xml:space="preserve"> A useful mental picture: the preamble is a long instruction manual the model rereads before every action. Gisting replaces the manual with a few thousand learned shorthand symbols (2,171 at the corrected 8:1 span) that mean the same thing to this one model. We never write those symbols by hand; we let the model teach itself their meaning by matching its own behaviour with and without the manual in front of it. The symbols are then shipped as extra rows in the model’s vocabulary table, so the serving system treats them like any other token.</w:t>
      </w:r>
    </w:p>
    <w:p>
      <w:r>
        <w:rPr>
          <w:b/>
        </w:rPr>
        <w:t>Contributions.</w:t>
      </w:r>
    </w:p>
    <w:p>
      <w:pPr>
        <w:ind w:left="360" w:hanging="360"/>
      </w:pPr>
      <w:r>
        <w:t xml:space="preserve">1. </w:t>
      </w:r>
      <w:r>
        <w:t>A development study applying a frozen-model prompt-distillation recipe [3] to a schema-dominated coding-agent preamble on a hybrid linear-attention model, with the client and serving engine unmodified.</w:t>
      </w:r>
    </w:p>
    <w:p>
      <w:pPr>
        <w:ind w:left="360" w:hanging="360"/>
      </w:pPr>
      <w:r>
        <w:t xml:space="preserve">2. </w:t>
      </w:r>
      <w:r>
        <w:t>A deployment recipe whose only trained object is a small embedding tensor: proxy-side span substitution, a conditional chat template, and a sampling mask, requiring no patch to the inference engine.</w:t>
      </w:r>
    </w:p>
    <w:p>
      <w:pPr>
        <w:ind w:left="360" w:hanging="360"/>
      </w:pPr>
      <w:r>
        <w:t xml:space="preserve">3. </w:t>
      </w:r>
      <w:r>
        <w:t>An automated, cost-guarded experiment loop (the lab): an unattended controller that provisions a rented GPU, trains a gist, serves it, evaluates it through the same proxy, verifies every turn was swapped, syncs results, and destroys the instance, with structural spend-safety (an idle watchdog, a ledger, and sync-before-destroy). We report the harness faults that invalidated two experiments as candidly as the runs that succeeded, and stress-tested every claim with an independent adversarial review whose findings are reconciled into the paper.</w:t>
      </w:r>
    </w:p>
    <w:p>
      <w:pPr>
        <w:ind w:left="360" w:hanging="360"/>
      </w:pPr>
      <w:r>
        <w:t xml:space="preserve">4. </w:t>
      </w:r>
      <w:r>
        <w:t>A serving benchmark on a tuned server with repeated runs and a latency objective: on a 95 GB H100-class GPU the gist sustains twice the request rate within a p95 latency objective and 44 percent higher peak throughput; the gain is incremental over prefix caching and 2 to 4 times larger without it; the observed peak difference is near zero on a 143 GB GPU. These are finite-window replay observations. J11 invalidates the former H200 hardware-ceiling interpretation, and a consistent quoted-price comparison does not establish cheaper-card substitution.</w:t>
      </w:r>
    </w:p>
    <w:p>
      <w:pPr>
        <w:ind w:left="360" w:hanging="360"/>
      </w:pPr>
      <w:r>
        <w:t xml:space="preserve">5. </w:t>
      </w:r>
      <w:r>
        <w:t>A failure mode and its fix: session-specific content (a path with a session identifier) that sample invariance had classified as static was folded into the gist and reconstructed incorrectly, failing path tasks across the four tested ratios; excluding such content from the span by pattern raised an 8:1 gist from 11/16 to 16/16 (11/15 to 15/15 excluding one defective probe) on a hard suite.</w:t>
      </w:r>
    </w:p>
    <w:p>
      <w:pPr>
        <w:pStyle w:val="Heading1"/>
      </w:pPr>
      <w:r>
        <w:rPr>
          <w:rFonts w:ascii="Consolas" w:hAnsi="Consolas"/>
          <w:b/>
          <w:color w:val="1F5F6E"/>
        </w:rPr>
        <w:t xml:space="preserve">2 </w:t>
      </w:r>
      <w:r>
        <w:t>Related work</w:t>
      </w:r>
    </w:p>
    <w:p>
      <w:r>
        <w:rPr>
          <w:b/>
        </w:rPr>
        <w:t>Prompt and context compression.</w:t>
      </w:r>
      <w:r>
        <w:t xml:space="preserve"> Mu et al. [1] introduced gist tokens, training a model </w:t>
      </w:r>
      <w:r>
        <w:rPr>
          <w:i/>
        </w:rPr>
        <w:t>with a modified attention mask</w:t>
      </w:r>
      <w:r>
        <w:t xml:space="preserve"> so that a few tokens learn to summarise an arbitrary incoming prompt; that is amortised compression of new prompts. Our task is the narrower one of learning a reusable fixed prefix for one preamble with the backbone frozen, and calling both "gisting" is reasonable only with that distinction made explicit. The concrete recipe we use, frozen weights with new embedding rows, chunk-mean initialisation, teacher precomputation, loss normalisation, and vocabulary-row deployment, follows the industrial report [3] closely; our contribution is transferring and stress-testing it on a schema-heavy, hybrid-attention deployment, not the algorithm. Prompt tuning [8] likewise learns soft-prompt vectors with a frozen model but for task adaptation rather than compression. Discrete methods such as LLMLingua [9] select or drop actual tokens instead of learning vectors. A no-training alternative to the same schema overhead is tool selection or lazy schema loading [10], which trades a retrieval step for the training we do. Wingate et al. [2], context distillation, and the AutoCompressor and ICAE line [6,7] are related soft-prompt and context-compression methods.</w:t>
      </w:r>
    </w:p>
    <w:p>
      <w:r>
        <w:rPr>
          <w:b/>
        </w:rPr>
        <w:t>Knowledge distillation.</w:t>
      </w:r>
      <w:r>
        <w:t xml:space="preserve"> The training objective is response-level KL from a teacher [4]; here teacher and student are the same frozen network with different inputs, a self-distillation.</w:t>
      </w:r>
    </w:p>
    <w:p>
      <w:r>
        <w:rPr>
          <w:b/>
        </w:rPr>
        <w:t>Efficient inference.</w:t>
      </w:r>
      <w:r>
        <w:t xml:space="preserve"> Prefix caching removes recomputation for a shared prefix and is the baseline gisting must beat; we run it in both arms. Hybrid and linear-attention models [5] change which costs a shorter prefix can reduce, which is central to our latency analysis.</w:t>
      </w:r>
    </w:p>
    <w:p>
      <w:pPr>
        <w:pStyle w:val="Heading1"/>
      </w:pPr>
      <w:r>
        <w:rPr>
          <w:rFonts w:ascii="Consolas" w:hAnsi="Consolas"/>
          <w:b/>
          <w:color w:val="1F5F6E"/>
        </w:rPr>
        <w:t xml:space="preserve">3 </w:t>
      </w:r>
      <w:r>
        <w:t>Method</w:t>
      </w:r>
    </w:p>
    <w:p>
      <w:r>
        <w:t>The method has three parts, shown in Figure 1: identify the fixed span worth compressing (3.1), grow the vocabulary and train the replacement tokens (3.2 and 3.3), and serve them without patching the engine (3.4).</w:t>
      </w:r>
    </w:p>
    <w:p>
      <w:pPr>
        <w:keepNext/>
        <w:jc w:val="center"/>
      </w:pPr>
      <w:r>
        <w:drawing>
          <wp:inline xmlns:a="http://schemas.openxmlformats.org/drawingml/2006/main" xmlns:pic="http://schemas.openxmlformats.org/drawingml/2006/picture">
            <wp:extent cx="5486400" cy="171907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719072"/>
                    </a:xfrm>
                    <a:prstGeom prst="rect"/>
                  </pic:spPr>
                </pic:pic>
              </a:graphicData>
            </a:graphic>
          </wp:inline>
        </w:drawing>
      </w:r>
    </w:p>
    <w:p>
      <w:r>
        <w:rPr>
          <w:b/>
          <w:sz w:val="18"/>
        </w:rPr>
        <w:t>Figure 1.</w:t>
      </w:r>
      <w:r>
        <w:rPr>
          <w:sz w:val="18"/>
        </w:rPr>
        <w:t xml:space="preserve"> The measurement and serving path. A logging proxy between the unmodified client and the engine records every request; the same proxy later substitutes the gist. The static span is almost entirely tool schemas.</w:t>
      </w:r>
    </w:p>
    <w:p>
      <w:pPr>
        <w:pStyle w:val="Heading2"/>
      </w:pPr>
      <w:r>
        <w:rPr>
          <w:rFonts w:ascii="Consolas" w:hAnsi="Consolas"/>
          <w:b/>
          <w:color w:val="1F5F6E"/>
        </w:rPr>
        <w:t xml:space="preserve">3.1 </w:t>
      </w:r>
      <w:r>
        <w:t>Defining the static span</w:t>
      </w:r>
    </w:p>
    <w:p>
      <w:r>
        <w:t>The gistable unit is the token span that is byte-identical across sessions after the chat template renders it. We recover it by diffing the rendered system text and tool array across many logged sessions. Per-session content, the working-directory path, git status, date, and served model name, is marked dynamic and left as raw tokens. A later result (Section 5.5) forces a stronger rule: any line matching a path, identifier, date, or model-name pattern is treated as dynamic regardless of whether it varied in the sample. For the trimmed 27-tool catalogue the static span is 17,540 tokens: 15,994 of tool schemas and about 1,546 of instructions in three segments. In plain terms, almost all of what we compress is the machine-readable description of the tools, not the human-readable rules.</w:t>
      </w:r>
    </w:p>
    <w:p>
      <w:pPr>
        <w:pStyle w:val="Heading2"/>
      </w:pPr>
      <w:r>
        <w:rPr>
          <w:rFonts w:ascii="Consolas" w:hAnsi="Consolas"/>
          <w:b/>
          <w:color w:val="1F5F6E"/>
        </w:rPr>
        <w:t xml:space="preserve">3.2 </w:t>
      </w:r>
      <w:r>
        <w:t>Growing the dictionary and training the gist</w:t>
      </w:r>
    </w:p>
    <w:p>
      <w:pPr>
        <w:keepNext/>
        <w:jc w:val="center"/>
      </w:pPr>
      <w:r>
        <w:drawing>
          <wp:inline xmlns:a="http://schemas.openxmlformats.org/drawingml/2006/main" xmlns:pic="http://schemas.openxmlformats.org/drawingml/2006/picture">
            <wp:extent cx="5486400" cy="234086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340864"/>
                    </a:xfrm>
                    <a:prstGeom prst="rect"/>
                  </pic:spPr>
                </pic:pic>
              </a:graphicData>
            </a:graphic>
          </wp:inline>
        </w:drawing>
      </w:r>
    </w:p>
    <w:p>
      <w:r>
        <w:rPr>
          <w:b/>
          <w:sz w:val="18"/>
        </w:rPr>
        <w:t>Figure 2.</w:t>
      </w:r>
      <w:r>
        <w:rPr>
          <w:sz w:val="18"/>
        </w:rPr>
        <w:t xml:space="preserve"> The method. </w:t>
      </w:r>
      <w:r>
        <w:rPr>
          <w:b/>
          <w:sz w:val="18"/>
        </w:rPr>
        <w:t>A:</w:t>
      </w:r>
      <w:r>
        <w:rPr>
          <w:sz w:val="18"/>
        </w:rPr>
        <w:t xml:space="preserve"> the embedding table is grown with N gist rows, each initialised as the mean of the k span tokens it replaces; the output head is grown with zero rows. </w:t>
      </w:r>
      <w:r>
        <w:rPr>
          <w:b/>
          <w:sz w:val="18"/>
        </w:rPr>
        <w:t>B:</w:t>
      </w:r>
      <w:r>
        <w:rPr>
          <w:sz w:val="18"/>
        </w:rPr>
        <w:t xml:space="preserve"> with all weights frozen, only the gist rows are trained, by KL between the full-prompt teacher and the gist-prompt student at each response position. </w:t>
      </w:r>
      <w:r>
        <w:rPr>
          <w:b/>
          <w:sz w:val="18"/>
        </w:rPr>
        <w:t>C:</w:t>
      </w:r>
      <w:r>
        <w:rPr>
          <w:sz w:val="18"/>
        </w:rPr>
        <w:t xml:space="preserve"> serving requires no engine patch.</w:t>
      </w:r>
    </w:p>
    <w:p>
      <w:r>
        <w:t xml:space="preserve">The tokenizer receives </w:t>
      </w:r>
      <w:r>
        <w:rPr>
          <w:rFonts w:ascii="Consolas" w:hAnsi="Consolas"/>
          <w:sz w:val="18"/>
        </w:rPr>
        <w:t>&lt;gist_0&gt;</w:t>
      </w:r>
      <w:r>
        <w:t xml:space="preserve"> through </w:t>
      </w:r>
      <w:r>
        <w:rPr>
          <w:rFonts w:ascii="Consolas" w:hAnsi="Consolas"/>
          <w:sz w:val="18"/>
        </w:rPr>
        <w:t>&lt;gist_{N-1}&gt;</w:t>
      </w:r>
      <w:r>
        <w:t xml:space="preserve"> as single-id special tokens. The input embedding is grown by N rows, each initialised to the mean of the k span-token embeddings it replaces at ratio k:1; this initialisation is the largest single training win reported in [3]. The output head is grown with zero rows and, because a zero logit still has nonzero softmax probability, a logits processor forbids sampling any gist id. Training minimises the KL divergence from the teacher (the frozen model reading the full span) to the student (the same model reading the gist rows) at each response token, summed over all response tokens in a step and divided by their count. Only the N-by-5120 gist tensor receives gradient.</w:t>
      </w:r>
    </w:p>
    <w:p>
      <w:pPr>
        <w:pStyle w:val="Heading2"/>
      </w:pPr>
      <w:r>
        <w:rPr>
          <w:rFonts w:ascii="Consolas" w:hAnsi="Consolas"/>
          <w:b/>
          <w:color w:val="1F5F6E"/>
        </w:rPr>
        <w:t xml:space="preserve">3.3 </w:t>
      </w:r>
      <w:r>
        <w:t>Precomputing the teacher</w:t>
      </w:r>
    </w:p>
    <w:p>
      <w:pPr>
        <w:keepNext/>
        <w:jc w:val="center"/>
      </w:pPr>
      <w:r>
        <w:drawing>
          <wp:inline xmlns:a="http://schemas.openxmlformats.org/drawingml/2006/main" xmlns:pic="http://schemas.openxmlformats.org/drawingml/2006/picture">
            <wp:extent cx="5486400" cy="171907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719072"/>
                    </a:xfrm>
                    <a:prstGeom prst="rect"/>
                  </pic:spPr>
                </pic:pic>
              </a:graphicData>
            </a:graphic>
          </wp:inline>
        </w:drawing>
      </w:r>
    </w:p>
    <w:p>
      <w:r>
        <w:rPr>
          <w:b/>
          <w:sz w:val="18"/>
        </w:rPr>
        <w:t>Figure 3.</w:t>
      </w:r>
      <w:r>
        <w:rPr>
          <w:sz w:val="18"/>
        </w:rPr>
        <w:t xml:space="preserve"> The teacher target never changes, so it is recorded once as top-32 log-probabilities per response position and reused for every recipe, turning training into a student-only pass.</w:t>
      </w:r>
    </w:p>
    <w:p>
      <w:r>
        <w:t xml:space="preserve">The teacher distribution is independent of the gist rows, so we record it once (top-32 log-probabilities per response position) and reuse it across recipes. The cached objective is therefore KL from a </w:t>
      </w:r>
      <w:r>
        <w:rPr>
          <w:i/>
        </w:rPr>
        <w:t>truncated, renormalised</w:t>
      </w:r>
      <w:r>
        <w:t xml:space="preserve"> teacher (probabilities renormalised over the retained top-32 ids) to the full-vocabulary student, not the full-teacher KL. Top-32 retained about 0.999 of the teacher’s probability mass at both the mean and the tenth percentile of response positions; high retained mass alone does not bound the omitted-tail contribution, which we did not measure.</w:t>
      </w:r>
    </w:p>
    <w:p>
      <w:pPr>
        <w:pStyle w:val="Heading2"/>
      </w:pPr>
      <w:r>
        <w:rPr>
          <w:rFonts w:ascii="Consolas" w:hAnsi="Consolas"/>
          <w:b/>
          <w:color w:val="1F5F6E"/>
        </w:rPr>
        <w:t xml:space="preserve">3.4 </w:t>
      </w:r>
      <w:r>
        <w:t>Serving</w:t>
      </w:r>
    </w:p>
    <w:p>
      <w:r>
        <w:t>Two components, neither touching engine source. The proxy locates the span by matching anchors in the incoming request and substitutes the gist tokens; the final proxy substitutes each segment whose anchor matches and leaves an unmatched segment raw (rather than refusing the whole request), and gates on a tool-catalogue hash so a changed catalogue is not silently gisted. Earlier runs used a stricter all-or-nothing passthrough; we distinguish the two because substitution coverage differs between them. The chat template gains one condition: when the system message contains a gist token, the tool block is not rendered, while the request still carries the tool array so the engine’s tool-call parser remains active.</w:t>
      </w:r>
    </w:p>
    <w:p>
      <w:pPr>
        <w:pStyle w:val="Heading1"/>
      </w:pPr>
      <w:r>
        <w:rPr>
          <w:rFonts w:ascii="Consolas" w:hAnsi="Consolas"/>
          <w:b/>
          <w:color w:val="1F5F6E"/>
        </w:rPr>
        <w:t xml:space="preserve">4 </w:t>
      </w:r>
      <w:r>
        <w:t>Experimental setup</w:t>
      </w:r>
    </w:p>
    <w:p>
      <w:pPr>
        <w:pStyle w:val="Heading2"/>
      </w:pPr>
      <w:r>
        <w:rPr>
          <w:rFonts w:ascii="Consolas" w:hAnsi="Consolas"/>
          <w:b/>
          <w:color w:val="1F5F6E"/>
        </w:rPr>
        <w:t xml:space="preserve">4.1 </w:t>
      </w:r>
      <w:r>
        <w:t>Model, engine, and client</w:t>
      </w:r>
    </w:p>
    <w:p>
      <w:r>
        <w:t>The model is Qwen3.8-27B: 64 transformer layers, hidden size 5120, untied input and output embeddings, and a full-attention interval of 4 (one full-attention layer for every three linear-attention layers). We serve the bf16 checkpoint at a pinned snapshot with vLLM 0.28, prefix caching enabled, vision disabled, on a single 96 GB GPU. Three serving settings were necessary: a cap of 64 concurrent sequences (the default of 1024 exceeds the recurrent-state cache blocks that fit in memory and aborts startup), 80 percent memory utilisation with 4096-token prefill chunks when computing the teacher cache (the full-vocabulary log-probability tensor for a larger chunk exhausts memory), and, in the proxy, a rewrite of the client’s requested reasoning-effort value, which the model rejects. The client is Claude Code 2.1.259 with auto-update disabled, pointed at the proxy by a single environment variable; it is otherwise unmodified.</w:t>
      </w:r>
    </w:p>
    <w:p>
      <w:pPr>
        <w:pStyle w:val="Heading2"/>
      </w:pPr>
      <w:r>
        <w:rPr>
          <w:rFonts w:ascii="Consolas" w:hAnsi="Consolas"/>
          <w:b/>
          <w:color w:val="1F5F6E"/>
        </w:rPr>
        <w:t xml:space="preserve">4.2 </w:t>
      </w:r>
      <w:r>
        <w:t>Instrumentation: the tap</w:t>
      </w:r>
    </w:p>
    <w:p>
      <w:r>
        <w:t>All measurement flows through a small logging proxy (the tap) placed between client and engine (Figure 1). It forwards each request unchanged and records the rendered system blocks, the tool array, the full message history, the reassembled response, and per-request timing. The client never sees it. The same proxy, in a second mode, performs the span substitution at serving time and logs whether the swap was applied, which we use as a health signal.</w:t>
      </w:r>
    </w:p>
    <w:p>
      <w:pPr>
        <w:pStyle w:val="Heading2"/>
      </w:pPr>
      <w:r>
        <w:rPr>
          <w:rFonts w:ascii="Consolas" w:hAnsi="Consolas"/>
          <w:b/>
          <w:color w:val="1F5F6E"/>
        </w:rPr>
        <w:t xml:space="preserve">4.3 </w:t>
      </w:r>
      <w:r>
        <w:t>How the span was analysed</w:t>
      </w:r>
    </w:p>
    <w:p>
      <w:r>
        <w:t>The static span is defined operationally as the token region that is byte-identical across sessions after the chat template renders it, and we recover it empirically rather than by inspecting the client. First, we collect real sessions by running the client headless (</w:t>
      </w:r>
      <w:r>
        <w:rPr>
          <w:rFonts w:ascii="Consolas" w:hAnsi="Consolas"/>
          <w:sz w:val="18"/>
        </w:rPr>
        <w:t>claude -p</w:t>
      </w:r>
      <w:r>
        <w:t>) over prepared repositories through the tap, with a tool allowlist, so that every request the model would see is logged in exactly its served form. Second, we take the rendered system text and the tool array from every logged request and compute their longest common prefix and the dominant (most frequent) tool array; the differences localise the per-session content (working directory, git status, date, served model name). Third, we count the span exactly by submitting the candidate system text and tools to the engine’s own tokenizer endpoint and subtracting a bare user turn, so the number reflects the chat template as the model actually consumes it, not a client-side estimate. Fourth, we compute the quantity that decides whether compression is worthwhile: the integrated static share, defined as the static-span token count times the number of turns, divided by the total input tokens the model read across the session (from the engine’s own usage counts). We report this per session and by session-length class (Figure 7). Finally, we split the span into segments the trainer can address independently: the instruction text becomes several contiguous segments separated by the dynamic injections, and the tool block is its own segment. A segment shorter than a small threshold, or one matching a path, identifier, date, or model-name pattern, is marked dynamic and kept as raw tokens; Section 5.5 explains why the pattern rule is necessary.</w:t>
      </w:r>
    </w:p>
    <w:p>
      <w:pPr>
        <w:keepNext/>
        <w:jc w:val="center"/>
      </w:pPr>
      <w:r>
        <w:drawing>
          <wp:inline xmlns:a="http://schemas.openxmlformats.org/drawingml/2006/main" xmlns:pic="http://schemas.openxmlformats.org/drawingml/2006/picture">
            <wp:extent cx="5486400" cy="187183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871831"/>
                    </a:xfrm>
                    <a:prstGeom prst="rect"/>
                  </pic:spPr>
                </pic:pic>
              </a:graphicData>
            </a:graphic>
          </wp:inline>
        </w:drawing>
      </w:r>
    </w:p>
    <w:p>
      <w:r>
        <w:rPr>
          <w:b/>
          <w:sz w:val="18"/>
        </w:rPr>
        <w:t>Figure 4.</w:t>
      </w:r>
      <w:r>
        <w:rPr>
          <w:sz w:val="18"/>
        </w:rPr>
        <w:t xml:space="preserve"> How the static span is recovered from data. Served requests are logged; the longest common prefix of their system text and the dominant tool array is the static span; per-session content is localised by the differences and kept raw; the span is counted through the engine tokenizer and split into instruction segments and a tool block. Copper and plum are static and gistable; outlined regions are dynamic.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sz w:val="17"/>
              </w:rPr>
              <w:t>Segment</w:t>
            </w:r>
          </w:p>
        </w:tc>
        <w:tc>
          <w:tcPr>
            <w:tcW w:type="dxa" w:w="1728"/>
          </w:tcPr>
          <w:p>
            <w:r/>
            <w:r>
              <w:rPr>
                <w:b/>
                <w:sz w:val="17"/>
              </w:rPr>
              <w:t>What it holds</w:t>
            </w:r>
          </w:p>
        </w:tc>
        <w:tc>
          <w:tcPr>
            <w:tcW w:type="dxa" w:w="1728"/>
          </w:tcPr>
          <w:p>
            <w:r/>
            <w:r>
              <w:rPr>
                <w:b/>
                <w:sz w:val="17"/>
              </w:rPr>
              <w:t>Classification</w:t>
            </w:r>
          </w:p>
        </w:tc>
        <w:tc>
          <w:tcPr>
            <w:tcW w:type="dxa" w:w="1728"/>
          </w:tcPr>
          <w:p>
            <w:r/>
            <w:r>
              <w:rPr>
                <w:b/>
                <w:sz w:val="17"/>
              </w:rPr>
              <w:t>Tokens</w:t>
            </w:r>
          </w:p>
        </w:tc>
        <w:tc>
          <w:tcPr>
            <w:tcW w:type="dxa" w:w="1728"/>
          </w:tcPr>
          <w:p>
            <w:r/>
            <w:r>
              <w:rPr>
                <w:b/>
                <w:sz w:val="17"/>
              </w:rPr>
              <w:t>Gist rows</w:t>
            </w:r>
          </w:p>
        </w:tc>
      </w:tr>
      <w:tr>
        <w:trPr>
          <w:cantSplit/>
        </w:trPr>
        <w:tc>
          <w:tcPr>
            <w:tcW w:type="dxa" w:w="1728"/>
          </w:tcPr>
          <w:p>
            <w:r/>
            <w:r>
              <w:rPr>
                <w:sz w:val="17"/>
              </w:rPr>
              <w:t>Instruction segments</w:t>
            </w:r>
          </w:p>
        </w:tc>
        <w:tc>
          <w:tcPr>
            <w:tcW w:type="dxa" w:w="1728"/>
          </w:tcPr>
          <w:p>
            <w:r/>
            <w:r>
              <w:rPr>
                <w:sz w:val="17"/>
              </w:rPr>
              <w:t>agent rules, harness notes, memory format</w:t>
            </w:r>
          </w:p>
        </w:tc>
        <w:tc>
          <w:tcPr>
            <w:tcW w:type="dxa" w:w="1728"/>
          </w:tcPr>
          <w:p>
            <w:r/>
            <w:r>
              <w:rPr>
                <w:sz w:val="17"/>
              </w:rPr>
              <w:t>static, gisted</w:t>
            </w:r>
          </w:p>
        </w:tc>
        <w:tc>
          <w:tcPr>
            <w:tcW w:type="dxa" w:w="1728"/>
          </w:tcPr>
          <w:p>
            <w:r/>
            <w:r>
              <w:rPr>
                <w:sz w:val="17"/>
              </w:rPr>
              <w:t>~1,350</w:t>
            </w:r>
          </w:p>
        </w:tc>
        <w:tc>
          <w:tcPr>
            <w:tcW w:type="dxa" w:w="1728"/>
          </w:tcPr>
          <w:p>
            <w:r/>
            <w:r>
              <w:rPr>
                <w:sz w:val="17"/>
              </w:rPr>
              <w:t>171</w:t>
            </w:r>
          </w:p>
        </w:tc>
      </w:tr>
      <w:tr>
        <w:trPr>
          <w:cantSplit/>
        </w:trPr>
        <w:tc>
          <w:tcPr>
            <w:tcW w:type="dxa" w:w="1728"/>
          </w:tcPr>
          <w:p>
            <w:r/>
            <w:r>
              <w:rPr>
                <w:sz w:val="17"/>
              </w:rPr>
              <w:t>Tool schemas</w:t>
            </w:r>
          </w:p>
        </w:tc>
        <w:tc>
          <w:tcPr>
            <w:tcW w:type="dxa" w:w="1728"/>
          </w:tcPr>
          <w:p>
            <w:r/>
            <w:r>
              <w:rPr>
                <w:sz w:val="17"/>
              </w:rPr>
              <w:t>JSON for the 27-tool catalogue</w:t>
            </w:r>
          </w:p>
        </w:tc>
        <w:tc>
          <w:tcPr>
            <w:tcW w:type="dxa" w:w="1728"/>
          </w:tcPr>
          <w:p>
            <w:r/>
            <w:r>
              <w:rPr>
                <w:sz w:val="17"/>
              </w:rPr>
              <w:t>static, gisted</w:t>
            </w:r>
          </w:p>
        </w:tc>
        <w:tc>
          <w:tcPr>
            <w:tcW w:type="dxa" w:w="1728"/>
          </w:tcPr>
          <w:p>
            <w:r/>
            <w:r>
              <w:rPr>
                <w:sz w:val="17"/>
              </w:rPr>
              <w:t>15,994</w:t>
            </w:r>
          </w:p>
        </w:tc>
        <w:tc>
          <w:tcPr>
            <w:tcW w:type="dxa" w:w="1728"/>
          </w:tcPr>
          <w:p>
            <w:r/>
            <w:r>
              <w:rPr>
                <w:sz w:val="17"/>
              </w:rPr>
              <w:t>2,000</w:t>
            </w:r>
          </w:p>
        </w:tc>
      </w:tr>
      <w:tr>
        <w:trPr>
          <w:cantSplit/>
        </w:trPr>
        <w:tc>
          <w:tcPr>
            <w:tcW w:type="dxa" w:w="1728"/>
          </w:tcPr>
          <w:p>
            <w:r/>
            <w:r>
              <w:rPr>
                <w:sz w:val="17"/>
              </w:rPr>
              <w:t>Per-session values</w:t>
            </w:r>
          </w:p>
        </w:tc>
        <w:tc>
          <w:tcPr>
            <w:tcW w:type="dxa" w:w="1728"/>
          </w:tcPr>
          <w:p>
            <w:r/>
            <w:r>
              <w:rPr>
                <w:sz w:val="17"/>
              </w:rPr>
              <w:t>working directory, git status, date, model name, memory path</w:t>
            </w:r>
          </w:p>
        </w:tc>
        <w:tc>
          <w:tcPr>
            <w:tcW w:type="dxa" w:w="1728"/>
          </w:tcPr>
          <w:p>
            <w:r/>
            <w:r>
              <w:rPr>
                <w:sz w:val="17"/>
              </w:rPr>
              <w:t>dynamic, kept raw</w:t>
            </w:r>
          </w:p>
        </w:tc>
        <w:tc>
          <w:tcPr>
            <w:tcW w:type="dxa" w:w="1728"/>
          </w:tcPr>
          <w:p>
            <w:r/>
            <w:r>
              <w:rPr>
                <w:sz w:val="17"/>
              </w:rPr>
              <w:t>~260</w:t>
            </w:r>
          </w:p>
        </w:tc>
        <w:tc>
          <w:tcPr>
            <w:tcW w:type="dxa" w:w="1728"/>
          </w:tcPr>
          <w:p>
            <w:r/>
            <w:r>
              <w:rPr>
                <w:sz w:val="17"/>
              </w:rPr>
              <w:t>0</w:t>
            </w:r>
          </w:p>
        </w:tc>
      </w:tr>
      <w:tr>
        <w:trPr>
          <w:cantSplit/>
        </w:trPr>
        <w:tc>
          <w:tcPr>
            <w:tcW w:type="dxa" w:w="1728"/>
          </w:tcPr>
          <w:p>
            <w:r/>
            <w:r>
              <w:rPr>
                <w:sz w:val="17"/>
              </w:rPr>
              <w:t>Static span (gisted)</w:t>
            </w:r>
          </w:p>
        </w:tc>
        <w:tc>
          <w:tcPr>
            <w:tcW w:type="dxa" w:w="1728"/>
          </w:tcPr>
          <w:p>
            <w:r/>
            <w:r>
              <w:rPr>
                <w:sz w:val="17"/>
              </w:rPr>
            </w:r>
          </w:p>
        </w:tc>
        <w:tc>
          <w:tcPr>
            <w:tcW w:type="dxa" w:w="1728"/>
          </w:tcPr>
          <w:p>
            <w:r/>
            <w:r>
              <w:rPr>
                <w:sz w:val="17"/>
              </w:rPr>
            </w:r>
          </w:p>
        </w:tc>
        <w:tc>
          <w:tcPr>
            <w:tcW w:type="dxa" w:w="1728"/>
          </w:tcPr>
          <w:p>
            <w:r/>
            <w:r>
              <w:rPr>
                <w:sz w:val="17"/>
              </w:rPr>
              <w:t>17,343</w:t>
            </w:r>
          </w:p>
        </w:tc>
        <w:tc>
          <w:tcPr>
            <w:tcW w:type="dxa" w:w="1728"/>
          </w:tcPr>
          <w:p>
            <w:r/>
            <w:r>
              <w:rPr>
                <w:sz w:val="17"/>
              </w:rPr>
              <w:t>2,171 (≈8:1)</w:t>
            </w:r>
          </w:p>
        </w:tc>
      </w:tr>
    </w:tbl>
    <w:p>
      <w:r>
        <w:rPr>
          <w:color w:val="565B62"/>
          <w:sz w:val="18"/>
        </w:rPr>
        <w:t>Table 1. Composition of the corrected 8:1 span (the trained verbatim-rule run). Almost all of the span is the machine-readable tool schemas; the human-readable instructions are a small fraction. Per-session values are excluded from the gist by pattern and sent raw. The gisted total, 17,343 tokens, is about 200 below the 17,540 quoted in Section 3.1, which counts the same span before the verbatim rule reclassified those session-specific tokens as dynamic.</w:t>
      </w:r>
    </w:p>
    <w:p>
      <w:pPr>
        <w:pStyle w:val="Heading2"/>
      </w:pPr>
      <w:r>
        <w:rPr>
          <w:rFonts w:ascii="Consolas" w:hAnsi="Consolas"/>
          <w:b/>
          <w:color w:val="1F5F6E"/>
        </w:rPr>
        <w:t xml:space="preserve">4.4 </w:t>
      </w:r>
      <w:r>
        <w:t>Data collection and the two arms</w:t>
      </w:r>
    </w:p>
    <w:p>
      <w:r>
        <w:t xml:space="preserve">Training and evaluation sessions are produced by the same headless driver over a seed repository and three real open-source repositories, stratified across task types and including deliberate failure paths. Each logged turn becomes one distillation example whose reconstruction matches the engine’s request-to-prompt conversion exactly (inline system messages merged, tool results rendered as tool-role messages). The teacher arm sends the full prompt; the student arm has the tap substitute the span. Both arms run against the </w:t>
      </w:r>
      <w:r>
        <w:rPr>
          <w:i/>
        </w:rPr>
        <w:t>same</w:t>
      </w:r>
      <w:r>
        <w:t xml:space="preserve"> served model with identical weights for every real token, so a difference between them isolates the span substitution from any weight change; single-run differences may still reflect generation, execution, and grader variability. One qualification: sub-agent (Agent-tool) child sessions carry a different prompt and a smaller tool catalogue, and the tap correctly leaves them unswapped, so a task that delegates to a child agent is served partly by the full prompt.</w:t>
      </w:r>
    </w:p>
    <w:p>
      <w:pPr>
        <w:keepNext/>
        <w:jc w:val="center"/>
      </w:pPr>
      <w:r>
        <w:drawing>
          <wp:inline xmlns:a="http://schemas.openxmlformats.org/drawingml/2006/main" xmlns:pic="http://schemas.openxmlformats.org/drawingml/2006/picture">
            <wp:extent cx="5486400" cy="196947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969477"/>
                    </a:xfrm>
                    <a:prstGeom prst="rect"/>
                  </pic:spPr>
                </pic:pic>
              </a:graphicData>
            </a:graphic>
          </wp:inline>
        </w:drawing>
      </w:r>
    </w:p>
    <w:p>
      <w:r>
        <w:rPr>
          <w:b/>
          <w:sz w:val="18"/>
        </w:rPr>
        <w:t>Figure 5.</w:t>
      </w:r>
      <w:r>
        <w:rPr>
          <w:sz w:val="18"/>
        </w:rPr>
        <w:t xml:space="preserve"> The two-arm evaluation. The same task suite is run twice against one served model with identical weights: the teacher arm sends the full prompt, the student arm has the tap substitute the span for gist tokens. Both arms share the model and the checker; single-run differences may still arise from generation and execution variability or grader defects. Sub-agent child sessions run unswapped on the full prompt.</w:t>
      </w:r>
    </w:p>
    <w:p>
      <w:pPr>
        <w:pStyle w:val="Heading2"/>
      </w:pPr>
      <w:r>
        <w:rPr>
          <w:rFonts w:ascii="Consolas" w:hAnsi="Consolas"/>
          <w:b/>
          <w:color w:val="1F5F6E"/>
        </w:rPr>
        <w:t xml:space="preserve">4.5 </w:t>
      </w:r>
      <w:r>
        <w:t>Evaluation suites and scoring</w:t>
      </w:r>
    </w:p>
    <w:p>
      <w:r>
        <w:t xml:space="preserve">An </w:t>
      </w:r>
      <w:r>
        <w:rPr>
          <w:i/>
        </w:rPr>
        <w:t>easy suite</w:t>
      </w:r>
      <w:r>
        <w:t xml:space="preserve"> of 12 tasks on a two-file repository with programmatic checkers. A </w:t>
      </w:r>
      <w:r>
        <w:rPr>
          <w:i/>
        </w:rPr>
        <w:t>hard suite</w:t>
      </w:r>
      <w:r>
        <w:t xml:space="preserve"> of 16 tasks stressing rarely used tools, real repositories at depth, rule adherence, and adversarial file content, scored by a log-aware checker over both the resulting files and the tool-call sequence (required tools, forbidden commands, read-before-edit ordering). A </w:t>
      </w:r>
      <w:r>
        <w:rPr>
          <w:i/>
        </w:rPr>
        <w:t>coverage suite</w:t>
      </w:r>
      <w:r>
        <w:t xml:space="preserve"> of 16 tasks each requiring named rarely used tools, scored on whether the tool was invoked at all. All suites are author-designed; there is task overlap between training data and the easy and coverage suites, and the hard suite guided the Section 5.5 fix, so none is a fully held-out test set. Each reported score is a single run. Compute is one GPU per experiment, training one epoch, the teacher cache a one-time pass; GPU-hours are in the appendix.</w:t>
      </w:r>
    </w:p>
    <w:p>
      <w:pPr>
        <w:pStyle w:val="Heading2"/>
      </w:pPr>
      <w:r>
        <w:rPr>
          <w:rFonts w:ascii="Consolas" w:hAnsi="Consolas"/>
          <w:b/>
          <w:color w:val="1F5F6E"/>
        </w:rPr>
        <w:t xml:space="preserve">4.6 </w:t>
      </w:r>
      <w:r>
        <w:t>The automated experiment loop (the lab)</w:t>
      </w:r>
    </w:p>
    <w:p>
      <w:r>
        <w:t xml:space="preserve">Most experiments after the first were run by an unattended controller rather than by hand (Figure 6). Recipes are queued as rows; for each, a detached process on the workstation provisions the cheapest suitable rented GPU, copies the code, training data, and teacher cache to it, and launches one chained job under a restart-on-death supervisor: grow the checkpoint, train the gist for one epoch, serve it, and signal readiness through a state file. The controller polls that state file over SSH; on readiness it opens a tunnel, starts the tap in gist mode with the run’s segment map, runs the evaluation suite, scores it, verifies that every turn was actually swapped, syncs the artifacts down, appends a results line, and destroys the instance. Each step is idempotent per instance through state files, so a dropped connection resumes rather than repeats. Spend-safety is structural rather than vigilance-dependent: an idle watchdog on each instance stops it after a fixed idle period, a ledger records every instance the moment it exists, results are synced before any instance is destroyed, and a global deadline tears the whole sweep down. This loop is what made the ratio and per-segment sweeps affordable to attempt; it is also where the faults of Section 5.8 arose, so we treat its reliability as an object of study, not a solved tool. Code is under </w:t>
      </w:r>
      <w:r>
        <w:rPr>
          <w:rFonts w:ascii="Consolas" w:hAnsi="Consolas"/>
          <w:sz w:val="18"/>
        </w:rPr>
        <w:t>loop/</w:t>
      </w:r>
      <w:r>
        <w:t xml:space="preserve"> (controller, provisioner, per-recipe run scripts).</w:t>
      </w:r>
    </w:p>
    <w:p>
      <w:pPr>
        <w:keepNext/>
        <w:jc w:val="center"/>
      </w:pPr>
      <w:r>
        <w:drawing>
          <wp:inline xmlns:a="http://schemas.openxmlformats.org/drawingml/2006/main" xmlns:pic="http://schemas.openxmlformats.org/drawingml/2006/picture">
            <wp:extent cx="5486400" cy="141681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416818"/>
                    </a:xfrm>
                    <a:prstGeom prst="rect"/>
                  </pic:spPr>
                </pic:pic>
              </a:graphicData>
            </a:graphic>
          </wp:inline>
        </w:drawing>
      </w:r>
    </w:p>
    <w:p>
      <w:r>
        <w:rPr>
          <w:b/>
          <w:sz w:val="18"/>
        </w:rPr>
        <w:t>Figure 6.</w:t>
      </w:r>
      <w:r>
        <w:rPr>
          <w:sz w:val="18"/>
        </w:rPr>
        <w:t xml:space="preserve"> The unattended experiment loop. A detached controller takes each queued recipe, provisions a fresh GPU, and runs one chained job on it (grow the checkpoint, train the gist for one epoch, serve it, signal readiness); it then polls that readiness state over SSH, evaluates the served model through the tap, verifies every turn was swapped, syncs the results, and destroys the instance before taking the next recipe. Spend-safety is structural: an idle watchdog, a ledger written when the instance is created, sync-before-destroy, and a global deadline. This same loop is where the Section 5.8 faults arose.</w:t>
      </w:r>
    </w:p>
    <w:p>
      <w:pPr>
        <w:pStyle w:val="Heading1"/>
      </w:pPr>
      <w:r>
        <w:rPr>
          <w:rFonts w:ascii="Consolas" w:hAnsi="Consolas"/>
          <w:b/>
          <w:color w:val="1F5F6E"/>
        </w:rPr>
        <w:t xml:space="preserve">5 </w:t>
      </w:r>
      <w:r>
        <w:t>Results</w:t>
      </w:r>
    </w:p>
    <w:p>
      <w:r>
        <w:t>The results follow the phases of the study:</w:t>
      </w:r>
    </w:p>
    <w:tbl>
      <w:tblPr>
        <w:tblStyle w:val="LightGrid-Accent1"/>
        <w:tblW w:type="auto" w:w="0"/>
        <w:jc w:val="center"/>
        <w:tblLook w:firstColumn="1" w:firstRow="1" w:lastColumn="0" w:lastRow="0" w:noHBand="0" w:noVBand="1" w:val="04A0"/>
      </w:tblPr>
      <w:tblGrid>
        <w:gridCol w:w="4320"/>
        <w:gridCol w:w="4320"/>
      </w:tblGrid>
      <w:tr>
        <w:trPr>
          <w:cantSplit/>
          <w:tblHeader/>
        </w:trPr>
        <w:tc>
          <w:tcPr>
            <w:tcW w:type="dxa" w:w="4320"/>
          </w:tcPr>
          <w:p>
            <w:r/>
            <w:r>
              <w:rPr>
                <w:b/>
                <w:sz w:val="17"/>
              </w:rPr>
              <w:t>Section</w:t>
            </w:r>
          </w:p>
        </w:tc>
        <w:tc>
          <w:tcPr>
            <w:tcW w:type="dxa" w:w="4320"/>
          </w:tcPr>
          <w:p>
            <w:r/>
            <w:r>
              <w:rPr>
                <w:b/>
                <w:sz w:val="17"/>
              </w:rPr>
              <w:t>The question it answers</w:t>
            </w:r>
          </w:p>
        </w:tc>
      </w:tr>
      <w:tr>
        <w:trPr>
          <w:cantSplit/>
        </w:trPr>
        <w:tc>
          <w:tcPr>
            <w:tcW w:type="dxa" w:w="4320"/>
          </w:tcPr>
          <w:p>
            <w:r/>
            <w:r>
              <w:rPr>
                <w:sz w:val="17"/>
              </w:rPr>
              <w:t>5.1</w:t>
            </w:r>
          </w:p>
        </w:tc>
        <w:tc>
          <w:tcPr>
            <w:tcW w:type="dxa" w:w="4320"/>
          </w:tcPr>
          <w:p>
            <w:r/>
            <w:r>
              <w:rPr>
                <w:sz w:val="17"/>
              </w:rPr>
              <w:t>Is the block worth compressing at all?</w:t>
            </w:r>
          </w:p>
        </w:tc>
      </w:tr>
      <w:tr>
        <w:trPr>
          <w:cantSplit/>
        </w:trPr>
        <w:tc>
          <w:tcPr>
            <w:tcW w:type="dxa" w:w="4320"/>
          </w:tcPr>
          <w:p>
            <w:r/>
            <w:r>
              <w:rPr>
                <w:sz w:val="17"/>
              </w:rPr>
              <w:t>5.2</w:t>
            </w:r>
          </w:p>
        </w:tc>
        <w:tc>
          <w:tcPr>
            <w:tcW w:type="dxa" w:w="4320"/>
          </w:tcPr>
          <w:p>
            <w:r/>
            <w:r>
              <w:rPr>
                <w:sz w:val="17"/>
              </w:rPr>
              <w:t>Can the model carry gist tokens without ever emitting them?</w:t>
            </w:r>
          </w:p>
        </w:tc>
      </w:tr>
      <w:tr>
        <w:trPr>
          <w:cantSplit/>
        </w:trPr>
        <w:tc>
          <w:tcPr>
            <w:tcW w:type="dxa" w:w="4320"/>
          </w:tcPr>
          <w:p>
            <w:r/>
            <w:r>
              <w:rPr>
                <w:sz w:val="17"/>
              </w:rPr>
              <w:t>5.3</w:t>
            </w:r>
          </w:p>
        </w:tc>
        <w:tc>
          <w:tcPr>
            <w:tcW w:type="dxa" w:w="4320"/>
          </w:tcPr>
          <w:p>
            <w:r/>
            <w:r>
              <w:rPr>
                <w:sz w:val="17"/>
              </w:rPr>
              <w:t>Does a trained gist preserve behaviour, and can it be trained cheaply?</w:t>
            </w:r>
          </w:p>
        </w:tc>
      </w:tr>
      <w:tr>
        <w:trPr>
          <w:cantSplit/>
        </w:trPr>
        <w:tc>
          <w:tcPr>
            <w:tcW w:type="dxa" w:w="4320"/>
          </w:tcPr>
          <w:p>
            <w:r/>
            <w:r>
              <w:rPr>
                <w:sz w:val="17"/>
              </w:rPr>
              <w:t>5.4</w:t>
            </w:r>
          </w:p>
        </w:tc>
        <w:tc>
          <w:tcPr>
            <w:tcW w:type="dxa" w:w="4320"/>
          </w:tcPr>
          <w:p>
            <w:r/>
            <w:r>
              <w:rPr>
                <w:sz w:val="17"/>
              </w:rPr>
              <w:t>How far does it compress before anything breaks?</w:t>
            </w:r>
          </w:p>
        </w:tc>
      </w:tr>
      <w:tr>
        <w:trPr>
          <w:cantSplit/>
        </w:trPr>
        <w:tc>
          <w:tcPr>
            <w:tcW w:type="dxa" w:w="4320"/>
          </w:tcPr>
          <w:p>
            <w:r/>
            <w:r>
              <w:rPr>
                <w:sz w:val="17"/>
              </w:rPr>
              <w:t>5.5</w:t>
            </w:r>
          </w:p>
        </w:tc>
        <w:tc>
          <w:tcPr>
            <w:tcW w:type="dxa" w:w="4320"/>
          </w:tcPr>
          <w:p>
            <w:r/>
            <w:r>
              <w:rPr>
                <w:sz w:val="17"/>
              </w:rPr>
              <w:t>What breaks under a harder suite, and how do we repair it?</w:t>
            </w:r>
          </w:p>
        </w:tc>
      </w:tr>
      <w:tr>
        <w:trPr>
          <w:cantSplit/>
        </w:trPr>
        <w:tc>
          <w:tcPr>
            <w:tcW w:type="dxa" w:w="4320"/>
          </w:tcPr>
          <w:p>
            <w:r/>
            <w:r>
              <w:rPr>
                <w:sz w:val="17"/>
              </w:rPr>
              <w:t>5.6</w:t>
            </w:r>
          </w:p>
        </w:tc>
        <w:tc>
          <w:tcPr>
            <w:tcW w:type="dxa" w:w="4320"/>
          </w:tcPr>
          <w:p>
            <w:r/>
            <w:r>
              <w:rPr>
                <w:sz w:val="17"/>
              </w:rPr>
              <w:t>What does the compression buy at serving time?</w:t>
            </w:r>
          </w:p>
        </w:tc>
      </w:tr>
      <w:tr>
        <w:trPr>
          <w:cantSplit/>
        </w:trPr>
        <w:tc>
          <w:tcPr>
            <w:tcW w:type="dxa" w:w="4320"/>
          </w:tcPr>
          <w:p>
            <w:r/>
            <w:r>
              <w:rPr>
                <w:sz w:val="17"/>
              </w:rPr>
              <w:t>5.7</w:t>
            </w:r>
          </w:p>
        </w:tc>
        <w:tc>
          <w:tcPr>
            <w:tcW w:type="dxa" w:w="4320"/>
          </w:tcPr>
          <w:p>
            <w:r/>
            <w:r>
              <w:rPr>
                <w:sz w:val="17"/>
              </w:rPr>
              <w:t>Does a training detail change the outcome?</w:t>
            </w:r>
          </w:p>
        </w:tc>
      </w:tr>
      <w:tr>
        <w:trPr>
          <w:cantSplit/>
        </w:trPr>
        <w:tc>
          <w:tcPr>
            <w:tcW w:type="dxa" w:w="4320"/>
          </w:tcPr>
          <w:p>
            <w:r/>
            <w:r>
              <w:rPr>
                <w:sz w:val="17"/>
              </w:rPr>
              <w:t>5.8</w:t>
            </w:r>
          </w:p>
        </w:tc>
        <w:tc>
          <w:tcPr>
            <w:tcW w:type="dxa" w:w="4320"/>
          </w:tcPr>
          <w:p>
            <w:r/>
            <w:r>
              <w:rPr>
                <w:sz w:val="17"/>
              </w:rPr>
              <w:t>What could we not score?</w:t>
            </w:r>
          </w:p>
        </w:tc>
      </w:tr>
    </w:tbl>
    <w:p>
      <w:r>
        <w:t>Because scores are single runs of small, partly reused suites, we report them as descriptive development scores and smoke tests, not estimates of parity or population success rates; Section 7 states why the usual confidence intervals do not apply.</w:t>
      </w:r>
    </w:p>
    <w:p>
      <w:pPr>
        <w:pStyle w:val="Heading2"/>
      </w:pPr>
      <w:r>
        <w:rPr>
          <w:rFonts w:ascii="Consolas" w:hAnsi="Consolas"/>
          <w:b/>
          <w:color w:val="1F5F6E"/>
        </w:rPr>
        <w:t xml:space="preserve">5.1 </w:t>
      </w:r>
      <w:r>
        <w:t>The block is large enough to be worth compressing</w:t>
      </w:r>
    </w:p>
    <w:p>
      <w:pPr>
        <w:keepNext/>
        <w:jc w:val="center"/>
      </w:pPr>
      <w:r>
        <w:drawing>
          <wp:inline xmlns:a="http://schemas.openxmlformats.org/drawingml/2006/main" xmlns:pic="http://schemas.openxmlformats.org/drawingml/2006/picture">
            <wp:extent cx="5486400" cy="21290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129051"/>
                    </a:xfrm>
                    <a:prstGeom prst="rect"/>
                  </pic:spPr>
                </pic:pic>
              </a:graphicData>
            </a:graphic>
          </wp:inline>
        </w:drawing>
      </w:r>
    </w:p>
    <w:p>
      <w:r>
        <w:rPr>
          <w:b/>
          <w:sz w:val="18"/>
        </w:rPr>
        <w:t>Figure 7.</w:t>
      </w:r>
      <w:r>
        <w:rPr>
          <w:sz w:val="18"/>
        </w:rPr>
        <w:t xml:space="preserve"> Integrated static-span share for eight logged sessions on the full catalogue (span 21,109 tokens): static tokens times turns, divided by total input tokens the model read. Mean 0.72, median 0.73; every session clears the 0.25 line, an author-chosen screening heuristic for when compression is worth attempting, not a measured economic break-even. The share shrinks within a longer session because the fixed span never grows while context does.</w:t>
      </w:r>
    </w:p>
    <w:p>
      <w:r>
        <w:t>Across eight logged sessions on the full catalogue (static span 21,109 tokens) the integrated static share was 0.72 on average and 0.73 at the median, and it declines within a session as context accumulates (Figure 7). Prefix caching, the no-training baseline, served 87 percent of tokens from cache on short sessions and 60 percent on a mixed run; gisting operates over that cached baseline. Removing 24 unconnected plugin tools from the catalogue saved 4,512 tokens with no training, the largest single reduction before any gist, and gives the trimmed 17,540-token span used for the compression experiments.</w:t>
      </w:r>
    </w:p>
    <w:p>
      <w:pPr>
        <w:pStyle w:val="Heading2"/>
      </w:pPr>
      <w:r>
        <w:rPr>
          <w:rFonts w:ascii="Consolas" w:hAnsi="Consolas"/>
          <w:b/>
          <w:color w:val="1F5F6E"/>
        </w:rPr>
        <w:t xml:space="preserve">5.2 </w:t>
      </w:r>
      <w:r>
        <w:t>The model never emits the new tokens</w:t>
      </w:r>
    </w:p>
    <w:p>
      <w:r>
        <w:t>The checkpoint had 243 spare embedding rows, far fewer than needed, so the table must be resized. After resizing and mean-chunk initialisation, the enlarged model loads in the engine and, across 30 generations at temperatures 1.0 and 1.5 including prompts that request gist tokens by name, emitted no gist id. The guarantee rests on the sampling mask; zero output-head rows alone do not preclude sampling.</w:t>
      </w:r>
    </w:p>
    <w:p>
      <w:pPr>
        <w:pStyle w:val="Heading2"/>
      </w:pPr>
      <w:r>
        <w:rPr>
          <w:rFonts w:ascii="Consolas" w:hAnsi="Consolas"/>
          <w:b/>
          <w:color w:val="1F5F6E"/>
        </w:rPr>
        <w:t xml:space="preserve">5.3 </w:t>
      </w:r>
      <w:r>
        <w:t>A trained gist holds up, and the loop is cheap</w:t>
      </w:r>
    </w:p>
    <w:p>
      <w:r>
        <w:t>At 4:1 (4,386 gist tokens), held-out KL per token fell from 0.053 to 0.015 in one epoch, and the gist matched the teacher 12/12 on the easy suite while reading 11.4k tokens per turn against 24.3k. Tool-call JSON was well-formed throughout; one call named a nonexistent tool in 84. The teacher cache (Section 3.3) made subsequent training a student-only pass; top-32 retained about 0.999 of teacher probability mass in the aggregate summaries, though we did not validate the omitted-tail KL or downstream equivalence.</w:t>
      </w:r>
    </w:p>
    <w:p>
      <w:pPr>
        <w:pStyle w:val="Heading2"/>
      </w:pPr>
      <w:r>
        <w:rPr>
          <w:rFonts w:ascii="Consolas" w:hAnsi="Consolas"/>
          <w:b/>
          <w:color w:val="1F5F6E"/>
        </w:rPr>
        <w:t xml:space="preserve">5.4 </w:t>
      </w:r>
      <w:r>
        <w:t>How far it compresses before anything breaks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sz w:val="17"/>
              </w:rPr>
              <w:t>Ratio</w:t>
            </w:r>
          </w:p>
        </w:tc>
        <w:tc>
          <w:tcPr>
            <w:tcW w:type="dxa" w:w="1728"/>
          </w:tcPr>
          <w:p>
            <w:r/>
            <w:r>
              <w:rPr>
                <w:b/>
                <w:sz w:val="17"/>
              </w:rPr>
              <w:t>Easy suite</w:t>
            </w:r>
          </w:p>
        </w:tc>
        <w:tc>
          <w:tcPr>
            <w:tcW w:type="dxa" w:w="1728"/>
          </w:tcPr>
          <w:p>
            <w:r/>
            <w:r>
              <w:rPr>
                <w:b/>
                <w:sz w:val="17"/>
              </w:rPr>
              <w:t>Tool calls</w:t>
            </w:r>
          </w:p>
        </w:tc>
        <w:tc>
          <w:tcPr>
            <w:tcW w:type="dxa" w:w="1728"/>
          </w:tcPr>
          <w:p>
            <w:r/>
            <w:r>
              <w:rPr>
                <w:b/>
                <w:sz w:val="17"/>
              </w:rPr>
              <w:t>Malformed</w:t>
            </w:r>
          </w:p>
        </w:tc>
        <w:tc>
          <w:tcPr>
            <w:tcW w:type="dxa" w:w="1728"/>
          </w:tcPr>
          <w:p>
            <w:r/>
            <w:r>
              <w:rPr>
                <w:b/>
                <w:sz w:val="17"/>
              </w:rPr>
              <w:t>Input tokens/turn</w:t>
            </w:r>
          </w:p>
        </w:tc>
      </w:tr>
      <w:tr>
        <w:trPr>
          <w:cantSplit/>
        </w:trPr>
        <w:tc>
          <w:tcPr>
            <w:tcW w:type="dxa" w:w="1728"/>
          </w:tcPr>
          <w:p>
            <w:r/>
            <w:r>
              <w:rPr>
                <w:sz w:val="17"/>
              </w:rPr>
              <w:t>teacher</w:t>
            </w:r>
          </w:p>
        </w:tc>
        <w:tc>
          <w:tcPr>
            <w:tcW w:type="dxa" w:w="1728"/>
          </w:tcPr>
          <w:p>
            <w:r/>
            <w:r>
              <w:rPr>
                <w:sz w:val="17"/>
              </w:rPr>
              <w:t>12/12</w:t>
            </w:r>
          </w:p>
        </w:tc>
        <w:tc>
          <w:tcPr>
            <w:tcW w:type="dxa" w:w="1728"/>
          </w:tcPr>
          <w:p>
            <w:r/>
            <w:r>
              <w:rPr>
                <w:sz w:val="17"/>
              </w:rPr>
              <w:t>69</w:t>
            </w:r>
          </w:p>
        </w:tc>
        <w:tc>
          <w:tcPr>
            <w:tcW w:type="dxa" w:w="1728"/>
          </w:tcPr>
          <w:p>
            <w:r/>
            <w:r>
              <w:rPr>
                <w:sz w:val="17"/>
              </w:rPr>
              <w:t>0</w:t>
            </w:r>
          </w:p>
        </w:tc>
        <w:tc>
          <w:tcPr>
            <w:tcW w:type="dxa" w:w="1728"/>
          </w:tcPr>
          <w:p>
            <w:r/>
            <w:r>
              <w:rPr>
                <w:sz w:val="17"/>
              </w:rPr>
              <w:t>24,258</w:t>
            </w:r>
          </w:p>
        </w:tc>
      </w:tr>
      <w:tr>
        <w:trPr>
          <w:cantSplit/>
        </w:trPr>
        <w:tc>
          <w:tcPr>
            <w:tcW w:type="dxa" w:w="1728"/>
          </w:tcPr>
          <w:p>
            <w:r/>
            <w:r>
              <w:rPr>
                <w:sz w:val="17"/>
              </w:rPr>
              <w:t>2:1</w:t>
            </w:r>
          </w:p>
        </w:tc>
        <w:tc>
          <w:tcPr>
            <w:tcW w:type="dxa" w:w="1728"/>
          </w:tcPr>
          <w:p>
            <w:r/>
            <w:r>
              <w:rPr>
                <w:sz w:val="17"/>
              </w:rPr>
              <w:t>12/12</w:t>
            </w:r>
          </w:p>
        </w:tc>
        <w:tc>
          <w:tcPr>
            <w:tcW w:type="dxa" w:w="1728"/>
          </w:tcPr>
          <w:p>
            <w:r/>
            <w:r>
              <w:rPr>
                <w:sz w:val="17"/>
              </w:rPr>
              <w:t>98</w:t>
            </w:r>
          </w:p>
        </w:tc>
        <w:tc>
          <w:tcPr>
            <w:tcW w:type="dxa" w:w="1728"/>
          </w:tcPr>
          <w:p>
            <w:r/>
            <w:r>
              <w:rPr>
                <w:sz w:val="17"/>
              </w:rPr>
              <w:t>0</w:t>
            </w:r>
          </w:p>
        </w:tc>
        <w:tc>
          <w:tcPr>
            <w:tcW w:type="dxa" w:w="1728"/>
          </w:tcPr>
          <w:p>
            <w:r/>
            <w:r>
              <w:rPr>
                <w:sz w:val="17"/>
              </w:rPr>
              <w:t>16,083</w:t>
            </w:r>
          </w:p>
        </w:tc>
      </w:tr>
      <w:tr>
        <w:trPr>
          <w:cantSplit/>
        </w:trPr>
        <w:tc>
          <w:tcPr>
            <w:tcW w:type="dxa" w:w="1728"/>
          </w:tcPr>
          <w:p>
            <w:r/>
            <w:r>
              <w:rPr>
                <w:sz w:val="17"/>
              </w:rPr>
              <w:t>4:1</w:t>
            </w:r>
          </w:p>
        </w:tc>
        <w:tc>
          <w:tcPr>
            <w:tcW w:type="dxa" w:w="1728"/>
          </w:tcPr>
          <w:p>
            <w:r/>
            <w:r>
              <w:rPr>
                <w:sz w:val="17"/>
              </w:rPr>
              <w:t>12/12</w:t>
            </w:r>
          </w:p>
        </w:tc>
        <w:tc>
          <w:tcPr>
            <w:tcW w:type="dxa" w:w="1728"/>
          </w:tcPr>
          <w:p>
            <w:r/>
            <w:r>
              <w:rPr>
                <w:sz w:val="17"/>
              </w:rPr>
              <w:t>84</w:t>
            </w:r>
          </w:p>
        </w:tc>
        <w:tc>
          <w:tcPr>
            <w:tcW w:type="dxa" w:w="1728"/>
          </w:tcPr>
          <w:p>
            <w:r/>
            <w:r>
              <w:rPr>
                <w:sz w:val="17"/>
              </w:rPr>
              <w:t>0</w:t>
            </w:r>
          </w:p>
        </w:tc>
        <w:tc>
          <w:tcPr>
            <w:tcW w:type="dxa" w:w="1728"/>
          </w:tcPr>
          <w:p>
            <w:r/>
            <w:r>
              <w:rPr>
                <w:sz w:val="17"/>
              </w:rPr>
              <w:t>11,410</w:t>
            </w:r>
          </w:p>
        </w:tc>
      </w:tr>
      <w:tr>
        <w:trPr>
          <w:cantSplit/>
        </w:trPr>
        <w:tc>
          <w:tcPr>
            <w:tcW w:type="dxa" w:w="1728"/>
          </w:tcPr>
          <w:p>
            <w:r/>
            <w:r>
              <w:rPr>
                <w:sz w:val="17"/>
              </w:rPr>
              <w:t>8:1</w:t>
            </w:r>
          </w:p>
        </w:tc>
        <w:tc>
          <w:tcPr>
            <w:tcW w:type="dxa" w:w="1728"/>
          </w:tcPr>
          <w:p>
            <w:r/>
            <w:r>
              <w:rPr>
                <w:sz w:val="17"/>
              </w:rPr>
              <w:t>12/12</w:t>
            </w:r>
          </w:p>
        </w:tc>
        <w:tc>
          <w:tcPr>
            <w:tcW w:type="dxa" w:w="1728"/>
          </w:tcPr>
          <w:p>
            <w:r/>
            <w:r>
              <w:rPr>
                <w:sz w:val="17"/>
              </w:rPr>
              <w:t>101</w:t>
            </w:r>
          </w:p>
        </w:tc>
        <w:tc>
          <w:tcPr>
            <w:tcW w:type="dxa" w:w="1728"/>
          </w:tcPr>
          <w:p>
            <w:r/>
            <w:r>
              <w:rPr>
                <w:sz w:val="17"/>
              </w:rPr>
              <w:t>0</w:t>
            </w:r>
          </w:p>
        </w:tc>
        <w:tc>
          <w:tcPr>
            <w:tcW w:type="dxa" w:w="1728"/>
          </w:tcPr>
          <w:p>
            <w:r/>
            <w:r>
              <w:rPr>
                <w:sz w:val="17"/>
              </w:rPr>
              <w:t>9,395</w:t>
            </w:r>
          </w:p>
        </w:tc>
      </w:tr>
      <w:tr>
        <w:trPr>
          <w:cantSplit/>
        </w:trPr>
        <w:tc>
          <w:tcPr>
            <w:tcW w:type="dxa" w:w="1728"/>
          </w:tcPr>
          <w:p>
            <w:r/>
            <w:r>
              <w:rPr>
                <w:sz w:val="17"/>
              </w:rPr>
              <w:t>16:1</w:t>
            </w:r>
          </w:p>
        </w:tc>
        <w:tc>
          <w:tcPr>
            <w:tcW w:type="dxa" w:w="1728"/>
          </w:tcPr>
          <w:p>
            <w:r/>
            <w:r>
              <w:rPr>
                <w:sz w:val="17"/>
              </w:rPr>
              <w:t>12/12</w:t>
            </w:r>
          </w:p>
        </w:tc>
        <w:tc>
          <w:tcPr>
            <w:tcW w:type="dxa" w:w="1728"/>
          </w:tcPr>
          <w:p>
            <w:r/>
            <w:r>
              <w:rPr>
                <w:sz w:val="17"/>
              </w:rPr>
              <w:t>94</w:t>
            </w:r>
          </w:p>
        </w:tc>
        <w:tc>
          <w:tcPr>
            <w:tcW w:type="dxa" w:w="1728"/>
          </w:tcPr>
          <w:p>
            <w:r/>
            <w:r>
              <w:rPr>
                <w:sz w:val="17"/>
              </w:rPr>
              <w:t>0</w:t>
            </w:r>
          </w:p>
        </w:tc>
        <w:tc>
          <w:tcPr>
            <w:tcW w:type="dxa" w:w="1728"/>
          </w:tcPr>
          <w:p>
            <w:r/>
            <w:r>
              <w:rPr>
                <w:sz w:val="17"/>
              </w:rPr>
              <w:t>8,245</w:t>
            </w:r>
          </w:p>
        </w:tc>
      </w:tr>
    </w:tbl>
    <w:p>
      <w:r>
        <w:rPr>
          <w:color w:val="565B62"/>
          <w:sz w:val="18"/>
        </w:rPr>
        <w:t>Table 2. Compression sweep on the easy suite, each ratio trained one epoch against the shared teacher cache. No knee appears on this suite. Recovery from out-of-memory events changed sequence caps and training subsets between runs, so these are not four otherwise-identical experiments, and the easy suite is a weak instrument (Section 7).</w:t>
      </w:r>
    </w:p>
    <w:p>
      <w:pPr>
        <w:pStyle w:val="Heading2"/>
      </w:pPr>
      <w:r>
        <w:rPr>
          <w:rFonts w:ascii="Consolas" w:hAnsi="Consolas"/>
          <w:b/>
          <w:color w:val="1F5F6E"/>
        </w:rPr>
        <w:t xml:space="preserve">5.5 </w:t>
      </w:r>
      <w:r>
        <w:t>What breaks under a harder suite, and the fix</w:t>
      </w:r>
    </w:p>
    <w:p>
      <w:pPr>
        <w:keepNext/>
        <w:jc w:val="center"/>
      </w:pPr>
      <w:r>
        <w:drawing>
          <wp:inline xmlns:a="http://schemas.openxmlformats.org/drawingml/2006/main" xmlns:pic="http://schemas.openxmlformats.org/drawingml/2006/picture">
            <wp:extent cx="5486400" cy="165295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1652954"/>
                    </a:xfrm>
                    <a:prstGeom prst="rect"/>
                  </pic:spPr>
                </pic:pic>
              </a:graphicData>
            </a:graphic>
          </wp:inline>
        </w:drawing>
      </w:r>
    </w:p>
    <w:p>
      <w:r>
        <w:rPr>
          <w:b/>
          <w:sz w:val="18"/>
        </w:rPr>
        <w:t>Figure 8.</w:t>
      </w:r>
      <w:r>
        <w:rPr>
          <w:sz w:val="18"/>
        </w:rPr>
        <w:t xml:space="preserve"> The dominant hard-suite failure and its repair. When the working-directory line (session identifier included) is folded into the gist, the model writes to invented directories. After excluding such lines by pattern and retraining once, the three previously failing path tasks passed; one residual invented-path event was still observed.</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2880"/>
          </w:tcPr>
          <w:p>
            <w:r/>
            <w:r>
              <w:rPr>
                <w:b/>
                <w:sz w:val="17"/>
              </w:rPr>
              <w:t>Run</w:t>
            </w:r>
          </w:p>
        </w:tc>
        <w:tc>
          <w:tcPr>
            <w:tcW w:type="dxa" w:w="2880"/>
          </w:tcPr>
          <w:p>
            <w:r/>
            <w:r>
              <w:rPr>
                <w:b/>
                <w:sz w:val="17"/>
              </w:rPr>
              <w:t>Hard suite</w:t>
            </w:r>
          </w:p>
        </w:tc>
        <w:tc>
          <w:tcPr>
            <w:tcW w:type="dxa" w:w="2880"/>
          </w:tcPr>
          <w:p>
            <w:r/>
            <w:r>
              <w:rPr>
                <w:b/>
                <w:sz w:val="17"/>
              </w:rPr>
              <w:t>Path writes correct</w:t>
            </w:r>
          </w:p>
        </w:tc>
      </w:tr>
      <w:tr>
        <w:trPr>
          <w:cantSplit/>
        </w:trPr>
        <w:tc>
          <w:tcPr>
            <w:tcW w:type="dxa" w:w="2880"/>
          </w:tcPr>
          <w:p>
            <w:r/>
            <w:r>
              <w:rPr>
                <w:sz w:val="17"/>
              </w:rPr>
              <w:t>teacher</w:t>
            </w:r>
          </w:p>
        </w:tc>
        <w:tc>
          <w:tcPr>
            <w:tcW w:type="dxa" w:w="2880"/>
          </w:tcPr>
          <w:p>
            <w:r/>
            <w:r>
              <w:rPr>
                <w:sz w:val="17"/>
              </w:rPr>
              <w:t>15/16</w:t>
            </w:r>
          </w:p>
        </w:tc>
        <w:tc>
          <w:tcPr>
            <w:tcW w:type="dxa" w:w="2880"/>
          </w:tcPr>
          <w:p>
            <w:r/>
            <w:r>
              <w:rPr>
                <w:sz w:val="17"/>
              </w:rPr>
              <w:t>3/3</w:t>
            </w:r>
          </w:p>
        </w:tc>
      </w:tr>
      <w:tr>
        <w:trPr>
          <w:cantSplit/>
        </w:trPr>
        <w:tc>
          <w:tcPr>
            <w:tcW w:type="dxa" w:w="2880"/>
          </w:tcPr>
          <w:p>
            <w:r/>
            <w:r>
              <w:rPr>
                <w:sz w:val="17"/>
              </w:rPr>
              <w:t>2:1 / 4:1 / 8:1 / 16:1</w:t>
            </w:r>
          </w:p>
        </w:tc>
        <w:tc>
          <w:tcPr>
            <w:tcW w:type="dxa" w:w="2880"/>
          </w:tcPr>
          <w:p>
            <w:r/>
            <w:r>
              <w:rPr>
                <w:sz w:val="17"/>
              </w:rPr>
              <w:t>12 / 11 / 11 / 12</w:t>
            </w:r>
          </w:p>
        </w:tc>
        <w:tc>
          <w:tcPr>
            <w:tcW w:type="dxa" w:w="2880"/>
          </w:tcPr>
          <w:p>
            <w:r/>
            <w:r>
              <w:rPr>
                <w:sz w:val="17"/>
              </w:rPr>
              <w:t>0/3 each</w:t>
            </w:r>
          </w:p>
        </w:tc>
      </w:tr>
      <w:tr>
        <w:trPr>
          <w:cantSplit/>
        </w:trPr>
        <w:tc>
          <w:tcPr>
            <w:tcW w:type="dxa" w:w="2880"/>
          </w:tcPr>
          <w:p>
            <w:r/>
            <w:r>
              <w:rPr>
                <w:sz w:val="17"/>
              </w:rPr>
              <w:t>8:1, verbatim rule</w:t>
            </w:r>
          </w:p>
        </w:tc>
        <w:tc>
          <w:tcPr>
            <w:tcW w:type="dxa" w:w="2880"/>
          </w:tcPr>
          <w:p>
            <w:r/>
            <w:r>
              <w:rPr>
                <w:sz w:val="17"/>
              </w:rPr>
              <w:t>16/16</w:t>
            </w:r>
          </w:p>
        </w:tc>
        <w:tc>
          <w:tcPr>
            <w:tcW w:type="dxa" w:w="2880"/>
          </w:tcPr>
          <w:p>
            <w:r/>
            <w:r>
              <w:rPr>
                <w:sz w:val="17"/>
              </w:rPr>
              <w:t>3/3</w:t>
            </w:r>
          </w:p>
        </w:tc>
      </w:tr>
      <w:tr>
        <w:trPr>
          <w:cantSplit/>
        </w:trPr>
        <w:tc>
          <w:tcPr>
            <w:tcW w:type="dxa" w:w="2880"/>
          </w:tcPr>
          <w:p>
            <w:r/>
            <w:r>
              <w:rPr>
                <w:sz w:val="17"/>
              </w:rPr>
              <w:t>teacher (same host)</w:t>
            </w:r>
          </w:p>
        </w:tc>
        <w:tc>
          <w:tcPr>
            <w:tcW w:type="dxa" w:w="2880"/>
          </w:tcPr>
          <w:p>
            <w:r/>
            <w:r>
              <w:rPr>
                <w:sz w:val="17"/>
              </w:rPr>
              <w:t>16/16</w:t>
            </w:r>
          </w:p>
        </w:tc>
        <w:tc>
          <w:tcPr>
            <w:tcW w:type="dxa" w:w="2880"/>
          </w:tcPr>
          <w:p>
            <w:r/>
            <w:r>
              <w:rPr>
                <w:sz w:val="17"/>
              </w:rPr>
              <w:t>3/3</w:t>
            </w:r>
          </w:p>
        </w:tc>
      </w:tr>
    </w:tbl>
    <w:p>
      <w:r>
        <w:rPr>
          <w:color w:val="565B62"/>
          <w:sz w:val="18"/>
        </w:rPr>
        <w:t>Table 3. Hard suite. Every compressed model failed the tasks requiring a write to an absolute path; the dominant cause is a session-specific value folded into the gist. One task (an explicit delete request) is a defective probe: it "fails" only if the file survives, and every arm deletes it. Excluding that probe, the corrected 8:1 gist improves 11/15 to 15/15 with the full-prompt model at 15/15 in both evaluations, so one of the five headline points is not evidence for the fix. The three path tasks account for three of the four remaining gains; one gain is unexplained. Retraining, a changed training pool, and a new evaluation host accompany the repair, so the improvement is not attributable to the rule alone.</w:t>
      </w:r>
    </w:p>
    <w:p>
      <w:r>
        <w:t>The corrected 8:1 gist reads about 10.4k tokens per turn against the teacher’s 25.5k on this suite. One residual invented-path event was observed after the fix; we report it as an occurrence, not a rate.</w:t>
      </w:r>
    </w:p>
    <w:p>
      <w:pPr>
        <w:pStyle w:val="Heading2"/>
      </w:pPr>
      <w:r>
        <w:rPr>
          <w:rFonts w:ascii="Consolas" w:hAnsi="Consolas"/>
          <w:b/>
          <w:color w:val="1F5F6E"/>
        </w:rPr>
        <w:t xml:space="preserve">5.6 </w:t>
      </w:r>
      <w:r>
        <w:t>What the compression buys at serving time</w:t>
      </w:r>
    </w:p>
    <w:p>
      <w:r>
        <w:rPr>
          <w:b/>
        </w:rPr>
        <w:t>Finite-window replay results.</w:t>
      </w:r>
      <w:r>
        <w:t xml:space="preserve"> On the H100-class GPU, the J10 replay recorded </w:t>
      </w:r>
      <w:r>
        <w:rPr>
          <w:b/>
        </w:rPr>
        <w:t>twice the target request rate</w:t>
      </w:r>
      <w:r>
        <w:t xml:space="preserve"> passing the chosen p95 latency criterion (18 versus 36 requests per minute) and </w:t>
      </w:r>
      <w:r>
        <w:rPr>
          <w:b/>
        </w:rPr>
        <w:t>44 percent higher observed peak throughput</w:t>
      </w:r>
      <w:r>
        <w:t xml:space="preserve"> (42.7 versus 61.3 requests per minute; unrounded gain 43.75 percent). These are finite-window replay measurements on one hardware class, with fixed 200-token outputs. The mechanism behind the throughput difference is not established, and these measurements do not establish deployment capacity or savings per successful coding task. The advantage was observed with prefix caching enabled; cache-off ratios at 4, 8 and 16 concurrent requests were 2.00, 2.48 and 4.39. The J11 connection-limit correction does not invalidate these lower-concurrency measurements; the other findings of the second review remain open.</w:t>
      </w:r>
    </w:p>
    <w:p>
      <w:r>
        <w:rPr>
          <w:b/>
        </w:rPr>
        <w:t>Benchmark.</w:t>
      </w:r>
      <w:r>
        <w:t xml:space="preserve"> A first fixed-concurrency replay on the paper’s original server configuration (131k context, 64 sequences, 0.80 memory utilisation, 4k batched tokens) showed the gist 12 to 16 percent ahead at eight concurrent sessions. Because that configuration throttles the server, we then ran a dedicated benchmark. The vLLM configuration was tuned by throughput at fixed load (context sized to the workload at 40,960 tokens, 256 sequences, 0.92 utilisation, 16k batched tokens) and applied identically to both arms. The workload is 198 turn-ordered requests per arm from 24 logged sessions (median full prompt 26,169 tokens, gist 10,998), each generating exactly 200 tokens; time to first token is measured from the first content token and cross-checked against engine counters, resolving the measurement caveat of the earlier replay. Five measurements are reported: a closed-loop concurrency sweep to saturation (three repeats, balanced arm order), open-loop Poisson arrivals at rising rates (two repeats), a prefix-cache ablation, and a resident-sequence probe, followed by a separate connection-limit control (J11) correcting that probe; the J10 sweep was repeated on an H200 NVL (143 GB) with the same configuration (two repeats). The external reviewer verified 202 archived J10 runs with zero recorded request errors. J11 adds eight separate H200 runs, one per condition, also with zero recorded request errors. It varies the client connection cap (100 or 512), prompt arm, and offered concurrency (128 or 256), using a 30-second warm-up and a 180-second request-start measurement window.</w:t>
      </w:r>
    </w:p>
    <w:p>
      <w:pPr>
        <w:keepNext/>
        <w:jc w:val="center"/>
      </w:pPr>
      <w:r>
        <w:drawing>
          <wp:inline xmlns:a="http://schemas.openxmlformats.org/drawingml/2006/main" xmlns:pic="http://schemas.openxmlformats.org/drawingml/2006/picture">
            <wp:extent cx="5486400" cy="19363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1936376"/>
                    </a:xfrm>
                    <a:prstGeom prst="rect"/>
                  </pic:spPr>
                </pic:pic>
              </a:graphicData>
            </a:graphic>
          </wp:inline>
        </w:drawing>
      </w:r>
    </w:p>
    <w:p>
      <w:r>
        <w:rPr>
          <w:b/>
          <w:sz w:val="18"/>
        </w:rPr>
        <w:t>Figure 9.</w:t>
      </w:r>
      <w:r>
        <w:rPr>
          <w:sz w:val="18"/>
        </w:rPr>
        <w:t xml:space="preserve"> Finite-window J10 serving replay on the selected H100 NVL configuration (95 GB). The plotted concurrency range is restricted to 1 through 64, below the client connection cap; the client-limited higher-concurrency points are not shown. Left: observed throughput for the full prompt, 8:1 gist and 16:1 gist. The 8:1 gist peaks at 32 with 43.75 percent higher throughput than the observed full-prompt peak. These curves do not establish a residency mechanism. Right: p95 end-to-end latency against target Poisson arrival rate; target rates of 18 and 36 requests per minute pass the respective arm-relative 2x criterion. J11 does not invalidate these lower-concurrency figures; the second review's other measurement qualifications remain open.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rPr>
          <w:cantSplit/>
          <w:tblHeader/>
        </w:trPr>
        <w:tc>
          <w:tcPr>
            <w:tcW w:type="dxa" w:w="1440"/>
          </w:tcPr>
          <w:p>
            <w:r/>
            <w:r>
              <w:rPr>
                <w:b/>
                <w:sz w:val="17"/>
              </w:rPr>
              <w:t>Sessions</w:t>
            </w:r>
          </w:p>
        </w:tc>
        <w:tc>
          <w:tcPr>
            <w:tcW w:type="dxa" w:w="1440"/>
          </w:tcPr>
          <w:p>
            <w:r/>
            <w:r>
              <w:rPr>
                <w:b/>
                <w:sz w:val="17"/>
              </w:rPr>
              <w:t>Full (req/min)</w:t>
            </w:r>
          </w:p>
        </w:tc>
        <w:tc>
          <w:tcPr>
            <w:tcW w:type="dxa" w:w="1440"/>
          </w:tcPr>
          <w:p>
            <w:r/>
            <w:r>
              <w:rPr>
                <w:b/>
                <w:sz w:val="17"/>
              </w:rPr>
              <w:t>Gist 8:1</w:t>
            </w:r>
          </w:p>
        </w:tc>
        <w:tc>
          <w:tcPr>
            <w:tcW w:type="dxa" w:w="1440"/>
          </w:tcPr>
          <w:p>
            <w:r/>
            <w:r>
              <w:rPr>
                <w:b/>
                <w:sz w:val="17"/>
              </w:rPr>
              <w:t>Gist 16:1</w:t>
            </w:r>
          </w:p>
        </w:tc>
        <w:tc>
          <w:tcPr>
            <w:tcW w:type="dxa" w:w="1440"/>
          </w:tcPr>
          <w:p>
            <w:r/>
            <w:r>
              <w:rPr>
                <w:b/>
                <w:sz w:val="17"/>
              </w:rPr>
              <w:t>p95 E2E full</w:t>
            </w:r>
          </w:p>
        </w:tc>
        <w:tc>
          <w:tcPr>
            <w:tcW w:type="dxa" w:w="1440"/>
          </w:tcPr>
          <w:p>
            <w:r/>
            <w:r>
              <w:rPr>
                <w:b/>
                <w:sz w:val="17"/>
              </w:rPr>
              <w:t>p95 E2E gist 8:1</w:t>
            </w:r>
          </w:p>
        </w:tc>
      </w:tr>
      <w:tr>
        <w:trPr>
          <w:cantSplit/>
        </w:trPr>
        <w:tc>
          <w:tcPr>
            <w:tcW w:type="dxa" w:w="1440"/>
          </w:tcPr>
          <w:p>
            <w:r/>
            <w:r>
              <w:rPr>
                <w:sz w:val="17"/>
              </w:rPr>
              <w:t>1</w:t>
            </w:r>
          </w:p>
        </w:tc>
        <w:tc>
          <w:tcPr>
            <w:tcW w:type="dxa" w:w="1440"/>
          </w:tcPr>
          <w:p>
            <w:r/>
            <w:r>
              <w:rPr>
                <w:sz w:val="17"/>
              </w:rPr>
              <w:t>13.1</w:t>
            </w:r>
          </w:p>
        </w:tc>
        <w:tc>
          <w:tcPr>
            <w:tcW w:type="dxa" w:w="1440"/>
          </w:tcPr>
          <w:p>
            <w:r/>
            <w:r>
              <w:rPr>
                <w:sz w:val="17"/>
              </w:rPr>
              <w:t>14.7</w:t>
            </w:r>
          </w:p>
        </w:tc>
        <w:tc>
          <w:tcPr>
            <w:tcW w:type="dxa" w:w="1440"/>
          </w:tcPr>
          <w:p>
            <w:r/>
            <w:r>
              <w:rPr>
                <w:sz w:val="17"/>
              </w:rPr>
              <w:t>14.0</w:t>
            </w:r>
          </w:p>
        </w:tc>
        <w:tc>
          <w:tcPr>
            <w:tcW w:type="dxa" w:w="1440"/>
          </w:tcPr>
          <w:p>
            <w:r/>
            <w:r>
              <w:rPr>
                <w:sz w:val="17"/>
              </w:rPr>
              <w:t>5.9 s</w:t>
            </w:r>
          </w:p>
        </w:tc>
        <w:tc>
          <w:tcPr>
            <w:tcW w:type="dxa" w:w="1440"/>
          </w:tcPr>
          <w:p>
            <w:r/>
            <w:r>
              <w:rPr>
                <w:sz w:val="17"/>
              </w:rPr>
              <w:t>5.2 s</w:t>
            </w:r>
          </w:p>
        </w:tc>
      </w:tr>
      <w:tr>
        <w:trPr>
          <w:cantSplit/>
        </w:trPr>
        <w:tc>
          <w:tcPr>
            <w:tcW w:type="dxa" w:w="1440"/>
          </w:tcPr>
          <w:p>
            <w:r/>
            <w:r>
              <w:rPr>
                <w:sz w:val="17"/>
              </w:rPr>
              <w:t>2</w:t>
            </w:r>
          </w:p>
        </w:tc>
        <w:tc>
          <w:tcPr>
            <w:tcW w:type="dxa" w:w="1440"/>
          </w:tcPr>
          <w:p>
            <w:r/>
            <w:r>
              <w:rPr>
                <w:sz w:val="17"/>
              </w:rPr>
              <w:t>22.7</w:t>
            </w:r>
          </w:p>
        </w:tc>
        <w:tc>
          <w:tcPr>
            <w:tcW w:type="dxa" w:w="1440"/>
          </w:tcPr>
          <w:p>
            <w:r/>
            <w:r>
              <w:rPr>
                <w:sz w:val="17"/>
              </w:rPr>
              <w:t>25.3</w:t>
            </w:r>
          </w:p>
        </w:tc>
        <w:tc>
          <w:tcPr>
            <w:tcW w:type="dxa" w:w="1440"/>
          </w:tcPr>
          <w:p>
            <w:r/>
            <w:r>
              <w:rPr>
                <w:sz w:val="17"/>
              </w:rPr>
              <w:t>24.0</w:t>
            </w:r>
          </w:p>
        </w:tc>
        <w:tc>
          <w:tcPr>
            <w:tcW w:type="dxa" w:w="1440"/>
          </w:tcPr>
          <w:p>
            <w:r/>
            <w:r>
              <w:rPr>
                <w:sz w:val="17"/>
              </w:rPr>
              <w:t>7.1 s</w:t>
            </w:r>
          </w:p>
        </w:tc>
        <w:tc>
          <w:tcPr>
            <w:tcW w:type="dxa" w:w="1440"/>
          </w:tcPr>
          <w:p>
            <w:r/>
            <w:r>
              <w:rPr>
                <w:sz w:val="17"/>
              </w:rPr>
              <w:t>6.6 s</w:t>
            </w:r>
          </w:p>
        </w:tc>
      </w:tr>
      <w:tr>
        <w:trPr>
          <w:cantSplit/>
        </w:trPr>
        <w:tc>
          <w:tcPr>
            <w:tcW w:type="dxa" w:w="1440"/>
          </w:tcPr>
          <w:p>
            <w:r/>
            <w:r>
              <w:rPr>
                <w:sz w:val="17"/>
              </w:rPr>
              <w:t>4</w:t>
            </w:r>
          </w:p>
        </w:tc>
        <w:tc>
          <w:tcPr>
            <w:tcW w:type="dxa" w:w="1440"/>
          </w:tcPr>
          <w:p>
            <w:r/>
            <w:r>
              <w:rPr>
                <w:sz w:val="17"/>
              </w:rPr>
              <w:t>36.9</w:t>
            </w:r>
          </w:p>
        </w:tc>
        <w:tc>
          <w:tcPr>
            <w:tcW w:type="dxa" w:w="1440"/>
          </w:tcPr>
          <w:p>
            <w:r/>
            <w:r>
              <w:rPr>
                <w:sz w:val="17"/>
              </w:rPr>
              <w:t>42.7</w:t>
            </w:r>
          </w:p>
        </w:tc>
        <w:tc>
          <w:tcPr>
            <w:tcW w:type="dxa" w:w="1440"/>
          </w:tcPr>
          <w:p>
            <w:r/>
            <w:r>
              <w:rPr>
                <w:sz w:val="17"/>
              </w:rPr>
              <w:t>40.0</w:t>
            </w:r>
          </w:p>
        </w:tc>
        <w:tc>
          <w:tcPr>
            <w:tcW w:type="dxa" w:w="1440"/>
          </w:tcPr>
          <w:p>
            <w:r/>
            <w:r>
              <w:rPr>
                <w:sz w:val="17"/>
              </w:rPr>
              <w:t>10.8 s</w:t>
            </w:r>
          </w:p>
        </w:tc>
        <w:tc>
          <w:tcPr>
            <w:tcW w:type="dxa" w:w="1440"/>
          </w:tcPr>
          <w:p>
            <w:r/>
            <w:r>
              <w:rPr>
                <w:sz w:val="17"/>
              </w:rPr>
              <w:t>10.1 s</w:t>
            </w:r>
          </w:p>
        </w:tc>
      </w:tr>
      <w:tr>
        <w:trPr>
          <w:cantSplit/>
        </w:trPr>
        <w:tc>
          <w:tcPr>
            <w:tcW w:type="dxa" w:w="1440"/>
          </w:tcPr>
          <w:p>
            <w:r/>
            <w:r>
              <w:rPr>
                <w:sz w:val="17"/>
              </w:rPr>
              <w:t>8</w:t>
            </w:r>
          </w:p>
        </w:tc>
        <w:tc>
          <w:tcPr>
            <w:tcW w:type="dxa" w:w="1440"/>
          </w:tcPr>
          <w:p>
            <w:r/>
            <w:r>
              <w:rPr>
                <w:sz w:val="17"/>
              </w:rPr>
              <w:t>34.7</w:t>
            </w:r>
          </w:p>
        </w:tc>
        <w:tc>
          <w:tcPr>
            <w:tcW w:type="dxa" w:w="1440"/>
          </w:tcPr>
          <w:p>
            <w:r/>
            <w:r>
              <w:rPr>
                <w:sz w:val="17"/>
              </w:rPr>
              <w:t>48.0</w:t>
            </w:r>
          </w:p>
        </w:tc>
        <w:tc>
          <w:tcPr>
            <w:tcW w:type="dxa" w:w="1440"/>
          </w:tcPr>
          <w:p>
            <w:r/>
            <w:r>
              <w:rPr>
                <w:sz w:val="17"/>
              </w:rPr>
              <w:t>42.7</w:t>
            </w:r>
          </w:p>
        </w:tc>
        <w:tc>
          <w:tcPr>
            <w:tcW w:type="dxa" w:w="1440"/>
          </w:tcPr>
          <w:p>
            <w:r/>
            <w:r>
              <w:rPr>
                <w:sz w:val="17"/>
              </w:rPr>
              <w:t>15.9 s</w:t>
            </w:r>
          </w:p>
        </w:tc>
        <w:tc>
          <w:tcPr>
            <w:tcW w:type="dxa" w:w="1440"/>
          </w:tcPr>
          <w:p>
            <w:r/>
            <w:r>
              <w:rPr>
                <w:sz w:val="17"/>
              </w:rPr>
              <w:t>13.0 s</w:t>
            </w:r>
          </w:p>
        </w:tc>
      </w:tr>
      <w:tr>
        <w:trPr>
          <w:cantSplit/>
        </w:trPr>
        <w:tc>
          <w:tcPr>
            <w:tcW w:type="dxa" w:w="1440"/>
          </w:tcPr>
          <w:p>
            <w:r/>
            <w:r>
              <w:rPr>
                <w:sz w:val="17"/>
              </w:rPr>
              <w:t>16</w:t>
            </w:r>
          </w:p>
        </w:tc>
        <w:tc>
          <w:tcPr>
            <w:tcW w:type="dxa" w:w="1440"/>
          </w:tcPr>
          <w:p>
            <w:r/>
            <w:r>
              <w:rPr>
                <w:sz w:val="17"/>
              </w:rPr>
              <w:t>42.7</w:t>
            </w:r>
          </w:p>
        </w:tc>
        <w:tc>
          <w:tcPr>
            <w:tcW w:type="dxa" w:w="1440"/>
          </w:tcPr>
          <w:p>
            <w:r/>
            <w:r>
              <w:rPr>
                <w:sz w:val="17"/>
              </w:rPr>
              <w:t>59.3</w:t>
            </w:r>
          </w:p>
        </w:tc>
        <w:tc>
          <w:tcPr>
            <w:tcW w:type="dxa" w:w="1440"/>
          </w:tcPr>
          <w:p>
            <w:r/>
            <w:r>
              <w:rPr>
                <w:sz w:val="17"/>
              </w:rPr>
              <w:t>53.3</w:t>
            </w:r>
          </w:p>
        </w:tc>
        <w:tc>
          <w:tcPr>
            <w:tcW w:type="dxa" w:w="1440"/>
          </w:tcPr>
          <w:p>
            <w:r/>
            <w:r>
              <w:rPr>
                <w:sz w:val="17"/>
              </w:rPr>
              <w:t>27.5 s</w:t>
            </w:r>
          </w:p>
        </w:tc>
        <w:tc>
          <w:tcPr>
            <w:tcW w:type="dxa" w:w="1440"/>
          </w:tcPr>
          <w:p>
            <w:r/>
            <w:r>
              <w:rPr>
                <w:sz w:val="17"/>
              </w:rPr>
              <w:t>23.0 s</w:t>
            </w:r>
          </w:p>
        </w:tc>
      </w:tr>
      <w:tr>
        <w:trPr>
          <w:cantSplit/>
        </w:trPr>
        <w:tc>
          <w:tcPr>
            <w:tcW w:type="dxa" w:w="1440"/>
          </w:tcPr>
          <w:p>
            <w:r/>
            <w:r>
              <w:rPr>
                <w:sz w:val="17"/>
              </w:rPr>
              <w:t>32</w:t>
            </w:r>
          </w:p>
        </w:tc>
        <w:tc>
          <w:tcPr>
            <w:tcW w:type="dxa" w:w="1440"/>
          </w:tcPr>
          <w:p>
            <w:r/>
            <w:r>
              <w:rPr>
                <w:sz w:val="17"/>
              </w:rPr>
              <w:t>42.7</w:t>
            </w:r>
          </w:p>
        </w:tc>
        <w:tc>
          <w:tcPr>
            <w:tcW w:type="dxa" w:w="1440"/>
          </w:tcPr>
          <w:p>
            <w:r/>
            <w:r>
              <w:rPr>
                <w:sz w:val="17"/>
              </w:rPr>
              <w:t>61.3</w:t>
            </w:r>
          </w:p>
        </w:tc>
        <w:tc>
          <w:tcPr>
            <w:tcW w:type="dxa" w:w="1440"/>
          </w:tcPr>
          <w:p>
            <w:r/>
            <w:r>
              <w:rPr>
                <w:sz w:val="17"/>
              </w:rPr>
              <w:t>54.0</w:t>
            </w:r>
          </w:p>
        </w:tc>
        <w:tc>
          <w:tcPr>
            <w:tcW w:type="dxa" w:w="1440"/>
          </w:tcPr>
          <w:p>
            <w:r/>
            <w:r>
              <w:rPr>
                <w:sz w:val="17"/>
              </w:rPr>
              <w:t>38.1 s</w:t>
            </w:r>
          </w:p>
        </w:tc>
        <w:tc>
          <w:tcPr>
            <w:tcW w:type="dxa" w:w="1440"/>
          </w:tcPr>
          <w:p>
            <w:r/>
            <w:r>
              <w:rPr>
                <w:sz w:val="17"/>
              </w:rPr>
              <w:t>41.8 s</w:t>
            </w:r>
          </w:p>
        </w:tc>
      </w:tr>
      <w:tr>
        <w:trPr>
          <w:cantSplit/>
        </w:trPr>
        <w:tc>
          <w:tcPr>
            <w:tcW w:type="dxa" w:w="1440"/>
          </w:tcPr>
          <w:p>
            <w:r/>
            <w:r>
              <w:rPr>
                <w:sz w:val="17"/>
              </w:rPr>
              <w:t>48</w:t>
            </w:r>
          </w:p>
        </w:tc>
        <w:tc>
          <w:tcPr>
            <w:tcW w:type="dxa" w:w="1440"/>
          </w:tcPr>
          <w:p>
            <w:r/>
            <w:r>
              <w:rPr>
                <w:sz w:val="17"/>
              </w:rPr>
              <w:t>32.0</w:t>
            </w:r>
          </w:p>
        </w:tc>
        <w:tc>
          <w:tcPr>
            <w:tcW w:type="dxa" w:w="1440"/>
          </w:tcPr>
          <w:p>
            <w:r/>
            <w:r>
              <w:rPr>
                <w:sz w:val="17"/>
              </w:rPr>
              <w:t>52.7</w:t>
            </w:r>
          </w:p>
        </w:tc>
        <w:tc>
          <w:tcPr>
            <w:tcW w:type="dxa" w:w="1440"/>
          </w:tcPr>
          <w:p>
            <w:r/>
            <w:r>
              <w:rPr>
                <w:sz w:val="17"/>
              </w:rPr>
              <w:t>44.0</w:t>
            </w:r>
          </w:p>
        </w:tc>
        <w:tc>
          <w:tcPr>
            <w:tcW w:type="dxa" w:w="1440"/>
          </w:tcPr>
          <w:p>
            <w:r/>
            <w:r>
              <w:rPr>
                <w:sz w:val="17"/>
              </w:rPr>
              <w:t>52.6 s</w:t>
            </w:r>
          </w:p>
        </w:tc>
        <w:tc>
          <w:tcPr>
            <w:tcW w:type="dxa" w:w="1440"/>
          </w:tcPr>
          <w:p>
            <w:r/>
            <w:r>
              <w:rPr>
                <w:sz w:val="17"/>
              </w:rPr>
              <w:t>53.0 s</w:t>
            </w:r>
          </w:p>
        </w:tc>
      </w:tr>
      <w:tr>
        <w:trPr>
          <w:cantSplit/>
        </w:trPr>
        <w:tc>
          <w:tcPr>
            <w:tcW w:type="dxa" w:w="1440"/>
          </w:tcPr>
          <w:p>
            <w:r/>
            <w:r>
              <w:rPr>
                <w:sz w:val="17"/>
              </w:rPr>
              <w:t>64</w:t>
            </w:r>
          </w:p>
        </w:tc>
        <w:tc>
          <w:tcPr>
            <w:tcW w:type="dxa" w:w="1440"/>
          </w:tcPr>
          <w:p>
            <w:r/>
            <w:r>
              <w:rPr>
                <w:sz w:val="17"/>
              </w:rPr>
              <w:t>29.3</w:t>
            </w:r>
          </w:p>
        </w:tc>
        <w:tc>
          <w:tcPr>
            <w:tcW w:type="dxa" w:w="1440"/>
          </w:tcPr>
          <w:p>
            <w:r/>
            <w:r>
              <w:rPr>
                <w:sz w:val="17"/>
              </w:rPr>
              <w:t>41.3</w:t>
            </w:r>
          </w:p>
        </w:tc>
        <w:tc>
          <w:tcPr>
            <w:tcW w:type="dxa" w:w="1440"/>
          </w:tcPr>
          <w:p>
            <w:r/>
            <w:r>
              <w:rPr>
                <w:sz w:val="17"/>
              </w:rPr>
              <w:t>36.7</w:t>
            </w:r>
          </w:p>
        </w:tc>
        <w:tc>
          <w:tcPr>
            <w:tcW w:type="dxa" w:w="1440"/>
          </w:tcPr>
          <w:p>
            <w:r/>
            <w:r>
              <w:rPr>
                <w:sz w:val="17"/>
              </w:rPr>
              <w:t>76.2 s</w:t>
            </w:r>
          </w:p>
        </w:tc>
        <w:tc>
          <w:tcPr>
            <w:tcW w:type="dxa" w:w="1440"/>
          </w:tcPr>
          <w:p>
            <w:r/>
            <w:r>
              <w:rPr>
                <w:sz w:val="17"/>
              </w:rPr>
              <w:t>67.5 s</w:t>
            </w:r>
          </w:p>
        </w:tc>
      </w:tr>
    </w:tbl>
    <w:p>
      <w:r>
        <w:rPr>
          <w:color w:val="565B62"/>
          <w:sz w:val="18"/>
        </w:rPr>
        <w:t>Table 4. Closed-loop sweep on the tuned server, mean of three repeats (two for 16:1); repeat-to-repeat population standard deviation is at most 1.34 requests per minute across the points shown (at most 0.67 for the 8:1 and full-prompt arms), so adjacent points on this ladder are not always separable. Peak throughput: full prompt 42.7 at 16 sessions, 8:1 gist 61.3 at 32 (+44 percent), 16:1 gist 54.0 at 32 (+27 percent). Beyond 32 sessions the full prompt’s KV cache is full and its throughput falls to 29; the gist’s decline begins at 64. Sessions within a p95 objective of 2x, 3x, or 4x the unloaded median are quantised by the powers-of-two ladder and tie between arms (2, 4, 8); at 6x the gist holds 16 to the full prompt’s 8. The open-loop measurement (Table 5) resolves the objective without that quantisation.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tcPr>
          <w:p>
            <w:r/>
            <w:r>
              <w:rPr>
                <w:b/>
                <w:sz w:val="17"/>
              </w:rPr>
              <w:t>Offered load (req/min)</w:t>
            </w:r>
          </w:p>
        </w:tc>
        <w:tc>
          <w:tcPr>
            <w:tcW w:type="dxa" w:w="1728"/>
          </w:tcPr>
          <w:p>
            <w:r/>
            <w:r>
              <w:rPr>
                <w:b/>
                <w:sz w:val="17"/>
              </w:rPr>
              <w:t>p95 E2E full</w:t>
            </w:r>
          </w:p>
        </w:tc>
        <w:tc>
          <w:tcPr>
            <w:tcW w:type="dxa" w:w="1728"/>
          </w:tcPr>
          <w:p>
            <w:r/>
            <w:r>
              <w:rPr>
                <w:b/>
                <w:sz w:val="17"/>
              </w:rPr>
              <w:t>Within 2x objective (8.5 s)</w:t>
            </w:r>
          </w:p>
        </w:tc>
        <w:tc>
          <w:tcPr>
            <w:tcW w:type="dxa" w:w="1728"/>
          </w:tcPr>
          <w:p>
            <w:r/>
            <w:r>
              <w:rPr>
                <w:b/>
                <w:sz w:val="17"/>
              </w:rPr>
              <w:t>p95 E2E gist 8:1</w:t>
            </w:r>
          </w:p>
        </w:tc>
        <w:tc>
          <w:tcPr>
            <w:tcW w:type="dxa" w:w="1728"/>
          </w:tcPr>
          <w:p>
            <w:r/>
            <w:r>
              <w:rPr>
                <w:b/>
                <w:sz w:val="17"/>
              </w:rPr>
              <w:t>Within 2x objective (8.0 s)</w:t>
            </w:r>
          </w:p>
        </w:tc>
      </w:tr>
      <w:tr>
        <w:trPr>
          <w:cantSplit/>
        </w:trPr>
        <w:tc>
          <w:tcPr>
            <w:tcW w:type="dxa" w:w="1728"/>
          </w:tcPr>
          <w:p>
            <w:r/>
            <w:r>
              <w:rPr>
                <w:sz w:val="17"/>
              </w:rPr>
              <w:t>9</w:t>
            </w:r>
          </w:p>
        </w:tc>
        <w:tc>
          <w:tcPr>
            <w:tcW w:type="dxa" w:w="1728"/>
          </w:tcPr>
          <w:p>
            <w:r/>
            <w:r>
              <w:rPr>
                <w:sz w:val="17"/>
              </w:rPr>
              <w:t>7.3 s</w:t>
            </w:r>
          </w:p>
        </w:tc>
        <w:tc>
          <w:tcPr>
            <w:tcW w:type="dxa" w:w="1728"/>
          </w:tcPr>
          <w:p>
            <w:r/>
            <w:r>
              <w:rPr>
                <w:sz w:val="17"/>
              </w:rPr>
              <w:t>yes</w:t>
            </w:r>
          </w:p>
        </w:tc>
        <w:tc>
          <w:tcPr>
            <w:tcW w:type="dxa" w:w="1728"/>
          </w:tcPr>
          <w:p>
            <w:r/>
            <w:r>
              <w:rPr>
                <w:sz w:val="17"/>
              </w:rPr>
              <w:t>5.0 s</w:t>
            </w:r>
          </w:p>
        </w:tc>
        <w:tc>
          <w:tcPr>
            <w:tcW w:type="dxa" w:w="1728"/>
          </w:tcPr>
          <w:p>
            <w:r/>
            <w:r>
              <w:rPr>
                <w:sz w:val="17"/>
              </w:rPr>
              <w:t>yes</w:t>
            </w:r>
          </w:p>
        </w:tc>
      </w:tr>
      <w:tr>
        <w:trPr>
          <w:cantSplit/>
        </w:trPr>
        <w:tc>
          <w:tcPr>
            <w:tcW w:type="dxa" w:w="1728"/>
          </w:tcPr>
          <w:p>
            <w:r/>
            <w:r>
              <w:rPr>
                <w:sz w:val="17"/>
              </w:rPr>
              <w:t>18</w:t>
            </w:r>
          </w:p>
        </w:tc>
        <w:tc>
          <w:tcPr>
            <w:tcW w:type="dxa" w:w="1728"/>
          </w:tcPr>
          <w:p>
            <w:r/>
            <w:r>
              <w:rPr>
                <w:sz w:val="17"/>
              </w:rPr>
              <w:t>8.4 s</w:t>
            </w:r>
          </w:p>
        </w:tc>
        <w:tc>
          <w:tcPr>
            <w:tcW w:type="dxa" w:w="1728"/>
          </w:tcPr>
          <w:p>
            <w:r/>
            <w:r>
              <w:rPr>
                <w:sz w:val="17"/>
              </w:rPr>
              <w:t>yes</w:t>
            </w:r>
          </w:p>
        </w:tc>
        <w:tc>
          <w:tcPr>
            <w:tcW w:type="dxa" w:w="1728"/>
          </w:tcPr>
          <w:p>
            <w:r/>
            <w:r>
              <w:rPr>
                <w:sz w:val="17"/>
              </w:rPr>
              <w:t>6.7 s</w:t>
            </w:r>
          </w:p>
        </w:tc>
        <w:tc>
          <w:tcPr>
            <w:tcW w:type="dxa" w:w="1728"/>
          </w:tcPr>
          <w:p>
            <w:r/>
            <w:r>
              <w:rPr>
                <w:sz w:val="17"/>
              </w:rPr>
              <w:t>yes</w:t>
            </w:r>
          </w:p>
        </w:tc>
      </w:tr>
      <w:tr>
        <w:trPr>
          <w:cantSplit/>
        </w:trPr>
        <w:tc>
          <w:tcPr>
            <w:tcW w:type="dxa" w:w="1728"/>
          </w:tcPr>
          <w:p>
            <w:r/>
            <w:r>
              <w:rPr>
                <w:sz w:val="17"/>
              </w:rPr>
              <w:t>27</w:t>
            </w:r>
          </w:p>
        </w:tc>
        <w:tc>
          <w:tcPr>
            <w:tcW w:type="dxa" w:w="1728"/>
          </w:tcPr>
          <w:p>
            <w:r/>
            <w:r>
              <w:rPr>
                <w:sz w:val="17"/>
              </w:rPr>
              <w:t>8.7 s</w:t>
            </w:r>
          </w:p>
        </w:tc>
        <w:tc>
          <w:tcPr>
            <w:tcW w:type="dxa" w:w="1728"/>
          </w:tcPr>
          <w:p>
            <w:r/>
            <w:r>
              <w:rPr>
                <w:sz w:val="17"/>
              </w:rPr>
              <w:t>no</w:t>
            </w:r>
          </w:p>
        </w:tc>
        <w:tc>
          <w:tcPr>
            <w:tcW w:type="dxa" w:w="1728"/>
          </w:tcPr>
          <w:p>
            <w:r/>
            <w:r>
              <w:rPr>
                <w:sz w:val="17"/>
              </w:rPr>
              <w:t>6.7 s</w:t>
            </w:r>
          </w:p>
        </w:tc>
        <w:tc>
          <w:tcPr>
            <w:tcW w:type="dxa" w:w="1728"/>
          </w:tcPr>
          <w:p>
            <w:r/>
            <w:r>
              <w:rPr>
                <w:sz w:val="17"/>
              </w:rPr>
              <w:t>yes</w:t>
            </w:r>
          </w:p>
        </w:tc>
      </w:tr>
      <w:tr>
        <w:trPr>
          <w:cantSplit/>
        </w:trPr>
        <w:tc>
          <w:tcPr>
            <w:tcW w:type="dxa" w:w="1728"/>
          </w:tcPr>
          <w:p>
            <w:r/>
            <w:r>
              <w:rPr>
                <w:sz w:val="17"/>
              </w:rPr>
              <w:t>36</w:t>
            </w:r>
          </w:p>
        </w:tc>
        <w:tc>
          <w:tcPr>
            <w:tcW w:type="dxa" w:w="1728"/>
          </w:tcPr>
          <w:p>
            <w:r/>
            <w:r>
              <w:rPr>
                <w:sz w:val="17"/>
              </w:rPr>
              <w:t>10.4 s</w:t>
            </w:r>
          </w:p>
        </w:tc>
        <w:tc>
          <w:tcPr>
            <w:tcW w:type="dxa" w:w="1728"/>
          </w:tcPr>
          <w:p>
            <w:r/>
            <w:r>
              <w:rPr>
                <w:sz w:val="17"/>
              </w:rPr>
              <w:t>no</w:t>
            </w:r>
          </w:p>
        </w:tc>
        <w:tc>
          <w:tcPr>
            <w:tcW w:type="dxa" w:w="1728"/>
          </w:tcPr>
          <w:p>
            <w:r/>
            <w:r>
              <w:rPr>
                <w:sz w:val="17"/>
              </w:rPr>
              <w:t>7.7 s</w:t>
            </w:r>
          </w:p>
        </w:tc>
        <w:tc>
          <w:tcPr>
            <w:tcW w:type="dxa" w:w="1728"/>
          </w:tcPr>
          <w:p>
            <w:r/>
            <w:r>
              <w:rPr>
                <w:sz w:val="17"/>
              </w:rPr>
              <w:t>yes</w:t>
            </w:r>
          </w:p>
        </w:tc>
      </w:tr>
      <w:tr>
        <w:trPr>
          <w:cantSplit/>
        </w:trPr>
        <w:tc>
          <w:tcPr>
            <w:tcW w:type="dxa" w:w="1728"/>
          </w:tcPr>
          <w:p>
            <w:r/>
            <w:r>
              <w:rPr>
                <w:sz w:val="17"/>
              </w:rPr>
              <w:t>54</w:t>
            </w:r>
          </w:p>
        </w:tc>
        <w:tc>
          <w:tcPr>
            <w:tcW w:type="dxa" w:w="1728"/>
          </w:tcPr>
          <w:p>
            <w:r/>
            <w:r>
              <w:rPr>
                <w:sz w:val="17"/>
              </w:rPr>
              <w:t>23.4 s</w:t>
            </w:r>
          </w:p>
        </w:tc>
        <w:tc>
          <w:tcPr>
            <w:tcW w:type="dxa" w:w="1728"/>
          </w:tcPr>
          <w:p>
            <w:r/>
            <w:r>
              <w:rPr>
                <w:sz w:val="17"/>
              </w:rPr>
              <w:t>no</w:t>
            </w:r>
          </w:p>
        </w:tc>
        <w:tc>
          <w:tcPr>
            <w:tcW w:type="dxa" w:w="1728"/>
          </w:tcPr>
          <w:p>
            <w:r/>
            <w:r>
              <w:rPr>
                <w:sz w:val="17"/>
              </w:rPr>
              <w:t>16.6 s</w:t>
            </w:r>
          </w:p>
        </w:tc>
        <w:tc>
          <w:tcPr>
            <w:tcW w:type="dxa" w:w="1728"/>
          </w:tcPr>
          <w:p>
            <w:r/>
            <w:r>
              <w:rPr>
                <w:sz w:val="17"/>
              </w:rPr>
              <w:t>no</w:t>
            </w:r>
          </w:p>
        </w:tc>
      </w:tr>
      <w:tr>
        <w:trPr>
          <w:cantSplit/>
        </w:trPr>
        <w:tc>
          <w:tcPr>
            <w:tcW w:type="dxa" w:w="1728"/>
          </w:tcPr>
          <w:p>
            <w:r/>
            <w:r>
              <w:rPr>
                <w:sz w:val="17"/>
              </w:rPr>
              <w:t>72</w:t>
            </w:r>
          </w:p>
        </w:tc>
        <w:tc>
          <w:tcPr>
            <w:tcW w:type="dxa" w:w="1728"/>
          </w:tcPr>
          <w:p>
            <w:r/>
            <w:r>
              <w:rPr>
                <w:sz w:val="17"/>
              </w:rPr>
              <w:t>79.5 s</w:t>
            </w:r>
          </w:p>
        </w:tc>
        <w:tc>
          <w:tcPr>
            <w:tcW w:type="dxa" w:w="1728"/>
          </w:tcPr>
          <w:p>
            <w:r/>
            <w:r>
              <w:rPr>
                <w:sz w:val="17"/>
              </w:rPr>
              <w:t>no</w:t>
            </w:r>
          </w:p>
        </w:tc>
        <w:tc>
          <w:tcPr>
            <w:tcW w:type="dxa" w:w="1728"/>
          </w:tcPr>
          <w:p>
            <w:r/>
            <w:r>
              <w:rPr>
                <w:sz w:val="17"/>
              </w:rPr>
              <w:t>26.5 s</w:t>
            </w:r>
          </w:p>
        </w:tc>
        <w:tc>
          <w:tcPr>
            <w:tcW w:type="dxa" w:w="1728"/>
          </w:tcPr>
          <w:p>
            <w:r/>
            <w:r>
              <w:rPr>
                <w:sz w:val="17"/>
              </w:rPr>
              <w:t>no</w:t>
            </w:r>
          </w:p>
        </w:tc>
      </w:tr>
    </w:tbl>
    <w:p>
      <w:r>
        <w:rPr>
          <w:color w:val="565B62"/>
          <w:sz w:val="18"/>
        </w:rPr>
        <w:t>Table 5. Open-loop Poisson arrivals, mean of two repeats. Both arms serve the offered load; the difference is latency. With the objective set at twice each arm’s unloaded median, the full prompt stays inside it up to about 18 requests per minute and the gist up to about 36: twice the sustainable load on the same GPU.</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Pr>
          <w:p>
            <w:r/>
            <w:r>
              <w:rPr>
                <w:b/>
                <w:sz w:val="17"/>
              </w:rPr>
              <w:t>Sessions</w:t>
            </w:r>
          </w:p>
        </w:tc>
        <w:tc>
          <w:tcPr>
            <w:tcW w:type="dxa" w:w="1234"/>
          </w:tcPr>
          <w:p>
            <w:r/>
            <w:r>
              <w:rPr>
                <w:b/>
                <w:sz w:val="17"/>
              </w:rPr>
              <w:t>Full, cache on</w:t>
            </w:r>
          </w:p>
        </w:tc>
        <w:tc>
          <w:tcPr>
            <w:tcW w:type="dxa" w:w="1234"/>
          </w:tcPr>
          <w:p>
            <w:r/>
            <w:r>
              <w:rPr>
                <w:b/>
                <w:sz w:val="17"/>
              </w:rPr>
              <w:t>Full, cache off</w:t>
            </w:r>
          </w:p>
        </w:tc>
        <w:tc>
          <w:tcPr>
            <w:tcW w:type="dxa" w:w="1234"/>
          </w:tcPr>
          <w:p>
            <w:r/>
            <w:r>
              <w:rPr>
                <w:b/>
                <w:sz w:val="17"/>
              </w:rPr>
              <w:t>Gist, cache on</w:t>
            </w:r>
          </w:p>
        </w:tc>
        <w:tc>
          <w:tcPr>
            <w:tcW w:type="dxa" w:w="1234"/>
          </w:tcPr>
          <w:p>
            <w:r/>
            <w:r>
              <w:rPr>
                <w:b/>
                <w:sz w:val="17"/>
              </w:rPr>
              <w:t>Gist, cache off</w:t>
            </w:r>
          </w:p>
        </w:tc>
        <w:tc>
          <w:tcPr>
            <w:tcW w:type="dxa" w:w="1234"/>
          </w:tcPr>
          <w:p>
            <w:r/>
            <w:r>
              <w:rPr>
                <w:b/>
                <w:sz w:val="17"/>
              </w:rPr>
              <w:t>Gist / full, cache on</w:t>
            </w:r>
          </w:p>
        </w:tc>
        <w:tc>
          <w:tcPr>
            <w:tcW w:type="dxa" w:w="1234"/>
          </w:tcPr>
          <w:p>
            <w:r/>
            <w:r>
              <w:rPr>
                <w:b/>
                <w:sz w:val="17"/>
              </w:rPr>
              <w:t>Gist / full, cache off</w:t>
            </w:r>
          </w:p>
        </w:tc>
      </w:tr>
      <w:tr>
        <w:trPr>
          <w:cantSplit/>
        </w:trPr>
        <w:tc>
          <w:tcPr>
            <w:tcW w:type="dxa" w:w="1234"/>
          </w:tcPr>
          <w:p>
            <w:r/>
            <w:r>
              <w:rPr>
                <w:sz w:val="17"/>
              </w:rPr>
              <w:t>4</w:t>
            </w:r>
          </w:p>
        </w:tc>
        <w:tc>
          <w:tcPr>
            <w:tcW w:type="dxa" w:w="1234"/>
          </w:tcPr>
          <w:p>
            <w:r/>
            <w:r>
              <w:rPr>
                <w:sz w:val="17"/>
              </w:rPr>
              <w:t>36.9</w:t>
            </w:r>
          </w:p>
        </w:tc>
        <w:tc>
          <w:tcPr>
            <w:tcW w:type="dxa" w:w="1234"/>
          </w:tcPr>
          <w:p>
            <w:r/>
            <w:r>
              <w:rPr>
                <w:sz w:val="17"/>
              </w:rPr>
              <w:t>10.7</w:t>
            </w:r>
          </w:p>
        </w:tc>
        <w:tc>
          <w:tcPr>
            <w:tcW w:type="dxa" w:w="1234"/>
          </w:tcPr>
          <w:p>
            <w:r/>
            <w:r>
              <w:rPr>
                <w:sz w:val="17"/>
              </w:rPr>
              <w:t>42.7</w:t>
            </w:r>
          </w:p>
        </w:tc>
        <w:tc>
          <w:tcPr>
            <w:tcW w:type="dxa" w:w="1234"/>
          </w:tcPr>
          <w:p>
            <w:r/>
            <w:r>
              <w:rPr>
                <w:sz w:val="17"/>
              </w:rPr>
              <w:t>21.3</w:t>
            </w:r>
          </w:p>
        </w:tc>
        <w:tc>
          <w:tcPr>
            <w:tcW w:type="dxa" w:w="1234"/>
          </w:tcPr>
          <w:p>
            <w:r/>
            <w:r>
              <w:rPr>
                <w:sz w:val="17"/>
              </w:rPr>
              <w:t>1.16x</w:t>
            </w:r>
          </w:p>
        </w:tc>
        <w:tc>
          <w:tcPr>
            <w:tcW w:type="dxa" w:w="1234"/>
          </w:tcPr>
          <w:p>
            <w:r/>
            <w:r>
              <w:rPr>
                <w:sz w:val="17"/>
              </w:rPr>
              <w:t>2.00x</w:t>
            </w:r>
          </w:p>
        </w:tc>
      </w:tr>
      <w:tr>
        <w:trPr>
          <w:cantSplit/>
        </w:trPr>
        <w:tc>
          <w:tcPr>
            <w:tcW w:type="dxa" w:w="1234"/>
          </w:tcPr>
          <w:p>
            <w:r/>
            <w:r>
              <w:rPr>
                <w:sz w:val="17"/>
              </w:rPr>
              <w:t>8</w:t>
            </w:r>
          </w:p>
        </w:tc>
        <w:tc>
          <w:tcPr>
            <w:tcW w:type="dxa" w:w="1234"/>
          </w:tcPr>
          <w:p>
            <w:r/>
            <w:r>
              <w:rPr>
                <w:sz w:val="17"/>
              </w:rPr>
              <w:t>34.7</w:t>
            </w:r>
          </w:p>
        </w:tc>
        <w:tc>
          <w:tcPr>
            <w:tcW w:type="dxa" w:w="1234"/>
          </w:tcPr>
          <w:p>
            <w:r/>
            <w:r>
              <w:rPr>
                <w:sz w:val="17"/>
              </w:rPr>
              <w:t>10.3</w:t>
            </w:r>
          </w:p>
        </w:tc>
        <w:tc>
          <w:tcPr>
            <w:tcW w:type="dxa" w:w="1234"/>
          </w:tcPr>
          <w:p>
            <w:r/>
            <w:r>
              <w:rPr>
                <w:sz w:val="17"/>
              </w:rPr>
              <w:t>48.0</w:t>
            </w:r>
          </w:p>
        </w:tc>
        <w:tc>
          <w:tcPr>
            <w:tcW w:type="dxa" w:w="1234"/>
          </w:tcPr>
          <w:p>
            <w:r/>
            <w:r>
              <w:rPr>
                <w:sz w:val="17"/>
              </w:rPr>
              <w:t>25.7</w:t>
            </w:r>
          </w:p>
        </w:tc>
        <w:tc>
          <w:tcPr>
            <w:tcW w:type="dxa" w:w="1234"/>
          </w:tcPr>
          <w:p>
            <w:r/>
            <w:r>
              <w:rPr>
                <w:sz w:val="17"/>
              </w:rPr>
              <w:t>1.38x</w:t>
            </w:r>
          </w:p>
        </w:tc>
        <w:tc>
          <w:tcPr>
            <w:tcW w:type="dxa" w:w="1234"/>
          </w:tcPr>
          <w:p>
            <w:r/>
            <w:r>
              <w:rPr>
                <w:sz w:val="17"/>
              </w:rPr>
              <w:t>2.48x</w:t>
            </w:r>
          </w:p>
        </w:tc>
      </w:tr>
      <w:tr>
        <w:trPr>
          <w:cantSplit/>
        </w:trPr>
        <w:tc>
          <w:tcPr>
            <w:tcW w:type="dxa" w:w="1234"/>
          </w:tcPr>
          <w:p>
            <w:r/>
            <w:r>
              <w:rPr>
                <w:sz w:val="17"/>
              </w:rPr>
              <w:t>16</w:t>
            </w:r>
          </w:p>
        </w:tc>
        <w:tc>
          <w:tcPr>
            <w:tcW w:type="dxa" w:w="1234"/>
          </w:tcPr>
          <w:p>
            <w:r/>
            <w:r>
              <w:rPr>
                <w:sz w:val="17"/>
              </w:rPr>
              <w:t>42.7</w:t>
            </w:r>
          </w:p>
        </w:tc>
        <w:tc>
          <w:tcPr>
            <w:tcW w:type="dxa" w:w="1234"/>
          </w:tcPr>
          <w:p>
            <w:r/>
            <w:r>
              <w:rPr>
                <w:sz w:val="17"/>
              </w:rPr>
              <w:t>6.0</w:t>
            </w:r>
          </w:p>
        </w:tc>
        <w:tc>
          <w:tcPr>
            <w:tcW w:type="dxa" w:w="1234"/>
          </w:tcPr>
          <w:p>
            <w:r/>
            <w:r>
              <w:rPr>
                <w:sz w:val="17"/>
              </w:rPr>
              <w:t>59.3</w:t>
            </w:r>
          </w:p>
        </w:tc>
        <w:tc>
          <w:tcPr>
            <w:tcW w:type="dxa" w:w="1234"/>
          </w:tcPr>
          <w:p>
            <w:r/>
            <w:r>
              <w:rPr>
                <w:sz w:val="17"/>
              </w:rPr>
              <w:t>26.3</w:t>
            </w:r>
          </w:p>
        </w:tc>
        <w:tc>
          <w:tcPr>
            <w:tcW w:type="dxa" w:w="1234"/>
          </w:tcPr>
          <w:p>
            <w:r/>
            <w:r>
              <w:rPr>
                <w:sz w:val="17"/>
              </w:rPr>
              <w:t>1.39x</w:t>
            </w:r>
          </w:p>
        </w:tc>
        <w:tc>
          <w:tcPr>
            <w:tcW w:type="dxa" w:w="1234"/>
          </w:tcPr>
          <w:p>
            <w:r/>
            <w:r>
              <w:rPr>
                <w:sz w:val="17"/>
              </w:rPr>
              <w:t>4.39x</w:t>
            </w:r>
          </w:p>
        </w:tc>
      </w:tr>
    </w:tbl>
    <w:p>
      <w:r>
        <w:rPr>
          <w:color w:val="565B62"/>
          <w:sz w:val="18"/>
        </w:rPr>
        <w:t>Table 6. Prefix-cache ablation (requests per minute), mean of two repeats; cache-on values from Table 4. Prefix caching does most of the work for the full prompt, which becomes prefill-bound without it; the gist is far less cache-dependent. The gist’s advantage is therefore incremental over caching when prefixes are shared, and grows to 2 to 4.4 times when they are not.</w:t>
      </w:r>
    </w:p>
    <w:p>
      <w:r>
        <w:rPr>
          <w:b/>
        </w:rPr>
        <w:t>Correction to the residency interpretation.</w:t>
      </w:r>
      <w:r>
        <w:t xml:space="preserve"> We withdrew the original H200 hardware-ceiling interpretation after external review identified a 100-connection limit in our own load generator. The dedicated J11 follow-up raised that limit to 512 and measured maximum sampled residency of 123 to 137 requests, with KV cache maxima of 97.3 to 99.9 percent and preemptions in three of four uncapped runs. These observations are consistent with KV saturation constraining admission under these conditions; they do not isolate the engine allocation mechanism or establish a precise hardware ceiling. At 256 offered requests, the gist reached a sampled maximum of 137 resident requests against 126 for the full prompt, in one run per condition and with preemptions in both. Lifting the limit reduced throughput in three of four comparisons: full at 128, 59.67 to 47.00 rpm; full at 256, 67.33 to 46.33; gist at 256, 88.33 to 56.67. Only gist at 128 increased, from 74.00 to 80.67 rpm. This is consistent with the cap acting as admission control, protecting the engine from overload; the earlier high-concurrency figures are not uniformly conservative. The gist/full ratios at 128 and 256 changed from 1.24 and 1.31 with the cap to 1.72 and 1.22 without it. We report these as observations; the cause of the throughput differences remains unestablished. The J10 H100 sampled residency values of 54 full and 66 gist are below the client cap and survive this correction. J11 used one H200, two offered concurrencies, one run per condition and no quality evaluation; raw evidence is under </w:t>
      </w:r>
      <w:r>
        <w:rPr>
          <w:rFonts w:ascii="Consolas" w:hAnsi="Consolas"/>
          <w:sz w:val="18"/>
        </w:rPr>
        <w:t>experiments/journeys/j11-conn/</w:t>
      </w:r>
      <w:r>
        <w:t>.</w:t>
      </w:r>
    </w:p>
    <w:p>
      <w:r>
        <w:rPr>
          <w:b/>
        </w:rPr>
        <w:t>Hardware observations and the price comparison.</w:t>
      </w:r>
      <w:r>
        <w:t xml:space="preserve"> On the H200 NVL with the H100-selected configuration, J10 observed peak throughput of 85.3 requests per minute for the full prompt and 83.3 for the gist (minus 2 percent). The ratios were 0.81 at 16 concurrent requests and 1.45 at 32. The historical ratio of 3.1 at 128 was measured through the capped client and is not an uncapped capacity estimate. Using a consistent quoted rental-price basis, $2.64/h for H100 and $3.65/h for H200, observed peak requests per minute per ($/h) are 16.16 and 23.23 for H100 full and gist, and 23.38 and 22.83 for H200 full and gist. H200 full therefore slightly exceeds H100 gist on this measure. Earlier H200 values of 22.5 and 22.0 used an effective rate inferred from total expense divided by hours, mixed with the quoted H100 rate. The corrected comparison shows approximate equality under these particular prices, not established cheaper-card substitution. Quality at load, equal tuning effort and a common service objective remain necessary for a deployment cost comparison. J11 also shows that removing admission limits can lower throughput, so high-concurrency results cannot be treated as uniformly understated.</w:t>
      </w:r>
    </w:p>
    <w:p>
      <w:r>
        <w:t>The 16:1 gist delivered about two thirds of the 8:1 gain (+27 versus +44 percent peak) on an identically difficult session pool, so further compression is a loss on serving before any quality risk is considered; 8:1 remains the operating point.</w:t>
      </w:r>
    </w:p>
    <w:p>
      <w:pPr>
        <w:pStyle w:val="Heading2"/>
      </w:pPr>
      <w:r>
        <w:rPr>
          <w:rFonts w:ascii="Consolas" w:hAnsi="Consolas"/>
          <w:b/>
          <w:color w:val="1F5F6E"/>
        </w:rPr>
        <w:t xml:space="preserve">5.7 </w:t>
      </w:r>
      <w:r>
        <w:t>Whether the training detail changes the outcome</w:t>
      </w:r>
    </w:p>
    <w:p>
      <w:r>
        <w:t>At the corrected 8:1 span, per-response averaging ended at held-out KL 0.0107 versus 0.0088 for batch-level and scored 14/16 versus 16/16 on the hard suite. The direction matches [3]; the magnitude here is mild and rests on a single run, so we retain batch-level averaging as the default without claiming a strong effect.</w:t>
      </w:r>
    </w:p>
    <w:p>
      <w:pPr>
        <w:pStyle w:val="Heading2"/>
      </w:pPr>
      <w:r>
        <w:rPr>
          <w:rFonts w:ascii="Consolas" w:hAnsi="Consolas"/>
          <w:b/>
          <w:color w:val="1F5F6E"/>
        </w:rPr>
        <w:t xml:space="preserve">5.8 </w:t>
      </w:r>
      <w:r>
        <w:t>What we could not score</w:t>
      </w:r>
    </w:p>
    <w:p>
      <w:r>
        <w:t>Two experiments did not yield trustworthy results, and we report them as such. In the coverage experiment, a gist retrained with 299 examples exercising rarely used tools scored below the teacher on a tool-reach suite; however, that evaluation run suffered an infrastructure fault (repeated request failures over roughly 99 minutes, with some tasks credited on earlier tool occurrences), so its numbers are withdrawn. A follow-up per-segment experiment, compressing the tool block less aggressively (4:1, 2:1) than the rules (8:1) to test whether rare-tool reach is capacity-bound, trained cleanly but could not be scored: the evaluation harness failed in six distinct ways across four attempts (a proxy port collision, request drops through a single overloaded tunnel, a work-directory deletion flag, brittle span anchors on a fresh host, slow-booting hosts, and an invalid reference arm). We fixed each and verified the anchor fix offline, but produced no trustworthy per-segment number. We draw no conclusion about the method from these two: infrastructure and harness failures prevented any interpretable measurement, and this evidence cannot show whether the method or the harness dominates reliability. Whether rare-tool reach is capacity-bound, and whether per-segment ratios help, remain open. The per-run operational chronology is in the appendix log rather than treated as a result.</w:t>
      </w:r>
    </w:p>
    <w:p>
      <w:pPr>
        <w:pStyle w:val="Heading1"/>
      </w:pPr>
      <w:r>
        <w:rPr>
          <w:rFonts w:ascii="Consolas" w:hAnsi="Consolas"/>
          <w:b/>
          <w:color w:val="1F5F6E"/>
        </w:rPr>
        <w:t xml:space="preserve">6 </w:t>
      </w:r>
      <w:r>
        <w:t>Analysis</w:t>
      </w:r>
    </w:p>
    <w:p>
      <w:r>
        <w:rPr>
          <w:b/>
        </w:rPr>
        <w:t>The dominant failure was a static/dynamic boundary error, not a ratio limit.</w:t>
      </w:r>
      <w:r>
        <w:t xml:space="preserve"> On the easy suite no ratio to 16:1 failed; on the hard suite the same path tasks failed across every tested ratio until session-specific content was removed from the span. The mechanism is specific: a fixed learned prefix cannot convey a new per-session value that is not supplied anywhere else, and empirical invariance in our collection sample was mistaken for semantic invariance. This is a span-selection defect, not evidence that a learned vector can never encode an exact string, since the model already emits fixed tool names and schema keys drawn from the gist. What genuinely resists this method is unavailable session-specific information, not exact strings in general.</w:t>
      </w:r>
    </w:p>
    <w:p>
      <w:r>
        <w:rPr>
          <w:b/>
        </w:rPr>
        <w:t>Architecture and the observations that survive.</w:t>
      </w:r>
      <w:r>
        <w:t xml:space="preserve"> Full attention runs in 16 of 64 layers; the other 48 fold the prefix into a fixed-size recurrent state. This layer mix motivated an expectation before measurement, but J10 did not confirm it as a residency mechanism, and J11 invalidated the claimed H200 hardware ceiling. The serving observations remain: the measured advantage is primarily requests processed under load, with little single-request latency improvement; the observed peak gain is larger on the memory-constrained H100 than on the H200; and an advantage remains in the H100 cache-off runs. These observations motivate hypotheses about memory pressure and serving cost. They do not establish the cause of the throughput difference or a hardware-independent benefit.</w:t>
      </w:r>
    </w:p>
    <w:p>
      <w:r>
        <w:rPr>
          <w:b/>
        </w:rPr>
        <w:t>Cross-condition comparisons are weak.</w:t>
      </w:r>
      <w:r>
        <w:t xml:space="preserve"> KL curves are not comparable across runs because held-out sets, sequence caps, hosts, and dates differ; the industrial base model is unstated, so our layer-mix explanation is a hypothesis, not a controlled comparison.</w:t>
      </w:r>
    </w:p>
    <w:p>
      <w:pPr>
        <w:pStyle w:val="Heading1"/>
      </w:pPr>
      <w:r>
        <w:rPr>
          <w:rFonts w:ascii="Consolas" w:hAnsi="Consolas"/>
          <w:b/>
          <w:color w:val="1F5F6E"/>
        </w:rPr>
        <w:t xml:space="preserve">7 </w:t>
      </w:r>
      <w:r>
        <w:t>Limitations</w:t>
      </w:r>
    </w:p>
    <w:p>
      <w:pPr>
        <w:pStyle w:val="ListBullet"/>
      </w:pPr>
      <w:r>
        <w:t>One model, one client version, one machine class. The span is a function of client version, plugin set, and tool configuration; a different configuration is a different gist.</w:t>
      </w:r>
    </w:p>
    <w:p>
      <w:pPr>
        <w:pStyle w:val="ListBullet"/>
      </w:pPr>
      <w:r>
        <w:t>Every score is a single run of a small, author-designed suite. Because the tasks are selected, partly reused, and dependent, the usual binomial confidence intervals do not describe the uncertainty in these scores; we report the scores themselves and avoid implying a calibrated success rate.</w:t>
      </w:r>
    </w:p>
    <w:p>
      <w:pPr>
        <w:pStyle w:val="ListBullet"/>
      </w:pPr>
      <w:r>
        <w:t>Training data overlaps the easy and coverage suites, and the hard suite guided the Section 5.5 fix; none is an untouched test set.</w:t>
      </w:r>
    </w:p>
    <w:p>
      <w:pPr>
        <w:pStyle w:val="ListBullet"/>
      </w:pPr>
      <w:r>
        <w:t>The coverage result is contaminated and withdrawn; the per-segment result is inconclusive.</w:t>
      </w:r>
    </w:p>
    <w:p>
      <w:pPr>
        <w:pStyle w:val="ListBullet"/>
      </w:pPr>
      <w:r>
        <w:t>Held-out KL was split by turn, not session, in most runs, permitting trajectory overlap; the trainer now splits by session.</w:t>
      </w:r>
    </w:p>
    <w:p>
      <w:pPr>
        <w:pStyle w:val="ListBullet"/>
      </w:pPr>
      <w:r>
        <w:t>The serving benchmark replays logged turns with fixed 200-token outputs on two GPU classes, three repeats on the H100 class and two on the H200; the concurrency ladder is powers of two, so sessions-within-objective is quantised (the open-loop measurement avoids this); the H200 used a configuration tuned on the H100 and showed one reproducible regression at 16 sessions, so per-hardware tuning is needed before its numbers are compared across cards; and throughput per dollar-hour uses spot rental prices on one day. Time to first token is measured from the first content token and checked against engine counters.</w:t>
      </w:r>
    </w:p>
    <w:p>
      <w:pPr>
        <w:pStyle w:val="ListBullet"/>
      </w:pPr>
      <w:r>
        <w:t>Prefix-cache benefit is unequal across prompt arms. Across all eight J11 runs, full-prompt prefix hit rates were 0.791 to 0.840, versus 0.580 to 0.626 for the gist. The higher cached fraction favours the full arm on this metric; its effect on the throughput comparison is not isolated, because token counts and request populations differ. The asymmetry is persistent, appears in J10 too, and was not controlled for in the program. No correction factor is inferred from it.</w:t>
      </w:r>
    </w:p>
    <w:p>
      <w:pPr>
        <w:pStyle w:val="ListBullet"/>
      </w:pPr>
      <w:r>
        <w:t>J11 tests one H200 class, two offered concurrencies and one run per condition, with no quality measurement. Residency is a maximum sampled every five seconds, not a precise ceiling. Runs were ordered by connection cap, then arm and concurrency; time and cache history can therefore differ between conditions.</w:t>
      </w:r>
    </w:p>
    <w:p>
      <w:pPr>
        <w:pStyle w:val="ListBullet"/>
      </w:pPr>
      <w:r>
        <w:t>Top-32 truncation was validated only on aggregate retained mass, not on omitted-tail KL or downstream quality.</w:t>
      </w:r>
    </w:p>
    <w:p>
      <w:pPr>
        <w:pStyle w:val="Heading1"/>
      </w:pPr>
      <w:r>
        <w:rPr>
          <w:rFonts w:ascii="Consolas" w:hAnsi="Consolas"/>
          <w:b/>
          <w:color w:val="1F5F6E"/>
        </w:rPr>
        <w:t xml:space="preserve">8 </w:t>
      </w:r>
      <w:r>
        <w:t>Reproducibility statement</w:t>
      </w:r>
    </w:p>
    <w:p>
      <w:r>
        <w:t xml:space="preserve">The method is specified in Section 3 and the setup in Section 4, and the code paths are named in the appendix. This is an outline, not a complete executable specification: full reproduction additionally requires, and we retain, the exact model and tokenizer repository and revision and the engine, driver, and CUDA versions; the original and corrected serialised spans with the tool-catalogue hash, segment boundaries, per-segment counts, and the pattern rule; per-run optimiser settings, datasets, split assignments, and train/evaluation overlap by suite; the loss equations and response-position masking; the teacher-cache format with its top-32 truncation and renormalisation (the trained objective is KL from a truncated, renormalised teacher, not the full-teacher KL); the task and checker code with score records; and the replay configuration with raw request measurements. Per-run source hashes were not captured, so the named scripts reflect their final state rather than the exact code of every historical run, and we distinguish final from historical behaviour where it differs (Section 3.4). The serving benchmark (load generator, corpus builder, on-box chain, per-run results, and capacity reports) is in the repository under </w:t>
      </w:r>
      <w:r>
        <w:rPr>
          <w:rFonts w:ascii="Consolas" w:hAnsi="Consolas"/>
          <w:sz w:val="18"/>
        </w:rPr>
        <w:t>experiments/bench</w:t>
      </w:r>
      <w:r>
        <w:t xml:space="preserve"> and </w:t>
      </w:r>
      <w:r>
        <w:rPr>
          <w:rFonts w:ascii="Consolas" w:hAnsi="Consolas"/>
          <w:sz w:val="18"/>
        </w:rPr>
        <w:t>experiments/journeys/j10-bench</w:t>
      </w:r>
      <w:r>
        <w:t>. The other artefacts are retained but not distributed with this paper.</w:t>
      </w:r>
    </w:p>
    <w:p>
      <w:pPr>
        <w:pStyle w:val="Heading1"/>
      </w:pPr>
      <w:r>
        <w:rPr>
          <w:rFonts w:ascii="Consolas" w:hAnsi="Consolas"/>
          <w:b/>
          <w:color w:val="1F5F6E"/>
        </w:rPr>
        <w:t xml:space="preserve">9 </w:t>
      </w:r>
      <w:r>
        <w:t>Broader impact</w:t>
      </w:r>
    </w:p>
    <w:p>
      <w:r>
        <w:t>Prompt compression lowers the serving cost of self-hosted agents, broadening access to capable coding assistants. It also carries a specific risk: compressing behavioural rules into opaque learned tokens can make safety-relevant instructions harder to audit, and a gist that silently drops or weakens a rule would be hard to detect. Our rule-probe and path-fidelity evaluations are a first, insufficient step; any deployment should retain explicit, testable checks that compressed rules still bind, and validate write targets and tool availability at the serving boundary.</w:t>
      </w:r>
    </w:p>
    <w:p>
      <w:pPr>
        <w:pStyle w:val="Heading1"/>
      </w:pPr>
      <w:r>
        <w:rPr>
          <w:rFonts w:ascii="Consolas" w:hAnsi="Consolas"/>
          <w:b/>
          <w:color w:val="1F5F6E"/>
        </w:rPr>
        <w:t xml:space="preserve">10 </w:t>
      </w:r>
      <w:r>
        <w:t>Conclusion</w:t>
      </w:r>
    </w:p>
    <w:p>
      <w:r>
        <w:t>A frozen-model prompt-distillation recipe can be implemented for a schema-dominated coding agent on a self-hosted hybrid model, served without modifying the client or engine, and it achieves a large reduction in input tokens per turn. In single runs on the suites we ran, a one-epoch, embedding-only gist scored equal to the full-prompt model once session-specific content was kept outside the span; whether that reflects behavioural equivalence on unseen work is untested. A tuned, repeated serving benchmark then showed the gist sustaining twice the request rate within a latency objective and 44 percent higher peak throughput on the paper’s hardware class, incremental over prefix caching. These are finite-window replay observations; their mechanism and deployment economics remain open. J11 withdrew the H200 hardware-ceiling interpretation and found lower throughput after lifting the client cap in three of four comparisons. On consistent quoted prices, H200 full slightly exceeds H100 gist per dollar. Cheaper-card substitution is not established. The open questions, generalisation on an untouched task set, controls that isolate the contribution of training, whether rare-tool reach is capacity-bound, a measured path-fidelity rate, and per-hardware serving tuning, require a rebuilt and validated evaluation harness, which our own negative results identify as the priority.</w:t>
      </w:r>
    </w:p>
    <w:p>
      <w:pPr>
        <w:pStyle w:val="Heading1"/>
      </w:pPr>
      <w:r>
        <w:rPr>
          <w:rFonts w:ascii="Consolas" w:hAnsi="Consolas"/>
          <w:b/>
          <w:color w:val="1F5F6E"/>
        </w:rPr>
        <w:t xml:space="preserve">A </w:t>
      </w:r>
      <w:r>
        <w:t>Appendix: experiments and compute</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blHeader/>
        </w:trPr>
        <w:tc>
          <w:tcPr>
            <w:tcW w:type="dxa" w:w="2160"/>
          </w:tcPr>
          <w:p>
            <w:r/>
            <w:r>
              <w:rPr>
                <w:b/>
                <w:sz w:val="17"/>
              </w:rPr>
              <w:t>Exp</w:t>
            </w:r>
          </w:p>
        </w:tc>
        <w:tc>
          <w:tcPr>
            <w:tcW w:type="dxa" w:w="2160"/>
          </w:tcPr>
          <w:p>
            <w:r/>
            <w:r>
              <w:rPr>
                <w:b/>
                <w:sz w:val="17"/>
              </w:rPr>
              <w:t>Question</w:t>
            </w:r>
          </w:p>
        </w:tc>
        <w:tc>
          <w:tcPr>
            <w:tcW w:type="dxa" w:w="2160"/>
          </w:tcPr>
          <w:p>
            <w:r/>
            <w:r>
              <w:rPr>
                <w:b/>
                <w:sz w:val="17"/>
              </w:rPr>
              <w:t>Outcome</w:t>
            </w:r>
          </w:p>
        </w:tc>
        <w:tc>
          <w:tcPr>
            <w:tcW w:type="dxa" w:w="2160"/>
          </w:tcPr>
          <w:p>
            <w:r/>
            <w:r>
              <w:rPr>
                <w:b/>
                <w:sz w:val="17"/>
              </w:rPr>
              <w:t>GPU-hours</w:t>
            </w:r>
          </w:p>
        </w:tc>
      </w:tr>
      <w:tr>
        <w:trPr>
          <w:cantSplit/>
        </w:trPr>
        <w:tc>
          <w:tcPr>
            <w:tcW w:type="dxa" w:w="2160"/>
          </w:tcPr>
          <w:p>
            <w:r/>
            <w:r>
              <w:rPr>
                <w:sz w:val="17"/>
              </w:rPr>
              <w:t>E0/E1</w:t>
            </w:r>
          </w:p>
        </w:tc>
        <w:tc>
          <w:tcPr>
            <w:tcW w:type="dxa" w:w="2160"/>
          </w:tcPr>
          <w:p>
            <w:r/>
            <w:r>
              <w:rPr>
                <w:sz w:val="17"/>
              </w:rPr>
              <w:t>Static share, caching baseline</w:t>
            </w:r>
          </w:p>
        </w:tc>
        <w:tc>
          <w:tcPr>
            <w:tcW w:type="dxa" w:w="2160"/>
          </w:tcPr>
          <w:p>
            <w:r/>
            <w:r>
              <w:rPr>
                <w:sz w:val="17"/>
              </w:rPr>
              <w:t>8 sessions, full catalogue (span 21,109): integrated share mean 0.72 / median 0.73; gate met</w:t>
            </w:r>
          </w:p>
        </w:tc>
        <w:tc>
          <w:tcPr>
            <w:tcW w:type="dxa" w:w="2160"/>
          </w:tcPr>
          <w:p>
            <w:r/>
            <w:r>
              <w:rPr>
                <w:sz w:val="17"/>
              </w:rPr>
              <w:t>1</w:t>
            </w:r>
          </w:p>
        </w:tc>
      </w:tr>
      <w:tr>
        <w:trPr>
          <w:cantSplit/>
        </w:trPr>
        <w:tc>
          <w:tcPr>
            <w:tcW w:type="dxa" w:w="2160"/>
          </w:tcPr>
          <w:p>
            <w:r/>
            <w:r>
              <w:rPr>
                <w:sz w:val="17"/>
              </w:rPr>
              <w:t>3.3</w:t>
            </w:r>
          </w:p>
        </w:tc>
        <w:tc>
          <w:tcPr>
            <w:tcW w:type="dxa" w:w="2160"/>
          </w:tcPr>
          <w:p>
            <w:r/>
            <w:r>
              <w:rPr>
                <w:sz w:val="17"/>
              </w:rPr>
              <w:t>Checkpoint viability</w:t>
            </w:r>
          </w:p>
        </w:tc>
        <w:tc>
          <w:tcPr>
            <w:tcW w:type="dxa" w:w="2160"/>
          </w:tcPr>
          <w:p>
            <w:r/>
            <w:r>
              <w:rPr>
                <w:sz w:val="17"/>
              </w:rPr>
              <w:t>loads; 0 gist ids emitted</w:t>
            </w:r>
          </w:p>
        </w:tc>
        <w:tc>
          <w:tcPr>
            <w:tcW w:type="dxa" w:w="2160"/>
          </w:tcPr>
          <w:p>
            <w:r/>
            <w:r>
              <w:rPr>
                <w:sz w:val="17"/>
              </w:rPr>
              <w:t>CPU + 4</w:t>
            </w:r>
          </w:p>
        </w:tc>
      </w:tr>
      <w:tr>
        <w:trPr>
          <w:cantSplit/>
        </w:trPr>
        <w:tc>
          <w:tcPr>
            <w:tcW w:type="dxa" w:w="2160"/>
          </w:tcPr>
          <w:p>
            <w:r/>
            <w:r>
              <w:rPr>
                <w:sz w:val="17"/>
              </w:rPr>
              <w:t>E2</w:t>
            </w:r>
          </w:p>
        </w:tc>
        <w:tc>
          <w:tcPr>
            <w:tcW w:type="dxa" w:w="2160"/>
          </w:tcPr>
          <w:p>
            <w:r/>
            <w:r>
              <w:rPr>
                <w:sz w:val="17"/>
              </w:rPr>
              <w:t>Minimum viable gist</w:t>
            </w:r>
          </w:p>
        </w:tc>
        <w:tc>
          <w:tcPr>
            <w:tcW w:type="dxa" w:w="2160"/>
          </w:tcPr>
          <w:p>
            <w:r/>
            <w:r>
              <w:rPr>
                <w:sz w:val="17"/>
              </w:rPr>
              <w:t>12/12; KL 0.053 to 0.015</w:t>
            </w:r>
          </w:p>
        </w:tc>
        <w:tc>
          <w:tcPr>
            <w:tcW w:type="dxa" w:w="2160"/>
          </w:tcPr>
          <w:p>
            <w:r/>
            <w:r>
              <w:rPr>
                <w:sz w:val="17"/>
              </w:rPr>
              <w:t>11</w:t>
            </w:r>
          </w:p>
        </w:tc>
      </w:tr>
      <w:tr>
        <w:trPr>
          <w:cantSplit/>
        </w:trPr>
        <w:tc>
          <w:tcPr>
            <w:tcW w:type="dxa" w:w="2160"/>
          </w:tcPr>
          <w:p>
            <w:r/>
            <w:r>
              <w:rPr>
                <w:sz w:val="17"/>
              </w:rPr>
              <w:t>E3</w:t>
            </w:r>
          </w:p>
        </w:tc>
        <w:tc>
          <w:tcPr>
            <w:tcW w:type="dxa" w:w="2160"/>
          </w:tcPr>
          <w:p>
            <w:r/>
            <w:r>
              <w:rPr>
                <w:sz w:val="17"/>
              </w:rPr>
              <w:t>Teacher cache</w:t>
            </w:r>
          </w:p>
        </w:tc>
        <w:tc>
          <w:tcPr>
            <w:tcW w:type="dxa" w:w="2160"/>
          </w:tcPr>
          <w:p>
            <w:r/>
            <w:r>
              <w:rPr>
                <w:sz w:val="17"/>
              </w:rPr>
              <w:t>top-32 mass 0.999; student-only training</w:t>
            </w:r>
          </w:p>
        </w:tc>
        <w:tc>
          <w:tcPr>
            <w:tcW w:type="dxa" w:w="2160"/>
          </w:tcPr>
          <w:p>
            <w:r/>
            <w:r>
              <w:rPr>
                <w:sz w:val="17"/>
              </w:rPr>
              <w:t>in E2/E4</w:t>
            </w:r>
          </w:p>
        </w:tc>
      </w:tr>
      <w:tr>
        <w:trPr>
          <w:cantSplit/>
        </w:trPr>
        <w:tc>
          <w:tcPr>
            <w:tcW w:type="dxa" w:w="2160"/>
          </w:tcPr>
          <w:p>
            <w:r/>
            <w:r>
              <w:rPr>
                <w:sz w:val="17"/>
              </w:rPr>
              <w:t>E4</w:t>
            </w:r>
          </w:p>
        </w:tc>
        <w:tc>
          <w:tcPr>
            <w:tcW w:type="dxa" w:w="2160"/>
          </w:tcPr>
          <w:p>
            <w:r/>
            <w:r>
              <w:rPr>
                <w:sz w:val="17"/>
              </w:rPr>
              <w:t>Ratio sweep 2/8/16:1</w:t>
            </w:r>
          </w:p>
        </w:tc>
        <w:tc>
          <w:tcPr>
            <w:tcW w:type="dxa" w:w="2160"/>
          </w:tcPr>
          <w:p>
            <w:r/>
            <w:r>
              <w:rPr>
                <w:sz w:val="17"/>
              </w:rPr>
              <w:t>12/12 at all; no knee on easy suite</w:t>
            </w:r>
          </w:p>
        </w:tc>
        <w:tc>
          <w:tcPr>
            <w:tcW w:type="dxa" w:w="2160"/>
          </w:tcPr>
          <w:p>
            <w:r/>
            <w:r>
              <w:rPr>
                <w:sz w:val="17"/>
              </w:rPr>
              <w:t>17</w:t>
            </w:r>
          </w:p>
        </w:tc>
      </w:tr>
      <w:tr>
        <w:trPr>
          <w:cantSplit/>
        </w:trPr>
        <w:tc>
          <w:tcPr>
            <w:tcW w:type="dxa" w:w="2160"/>
          </w:tcPr>
          <w:p>
            <w:r/>
            <w:r>
              <w:rPr>
                <w:sz w:val="17"/>
              </w:rPr>
              <w:t>E7</w:t>
            </w:r>
          </w:p>
        </w:tc>
        <w:tc>
          <w:tcPr>
            <w:tcW w:type="dxa" w:w="2160"/>
          </w:tcPr>
          <w:p>
            <w:r/>
            <w:r>
              <w:rPr>
                <w:sz w:val="17"/>
              </w:rPr>
              <w:t>Hard suite; span defect; fix</w:t>
            </w:r>
          </w:p>
        </w:tc>
        <w:tc>
          <w:tcPr>
            <w:tcW w:type="dxa" w:w="2160"/>
          </w:tcPr>
          <w:p>
            <w:r/>
            <w:r>
              <w:rPr>
                <w:sz w:val="17"/>
              </w:rPr>
              <w:t>11 to 16/16 at 8:1 with verbatim rule</w:t>
            </w:r>
          </w:p>
        </w:tc>
        <w:tc>
          <w:tcPr>
            <w:tcW w:type="dxa" w:w="2160"/>
          </w:tcPr>
          <w:p>
            <w:r/>
            <w:r>
              <w:rPr>
                <w:sz w:val="17"/>
              </w:rPr>
              <w:t>9</w:t>
            </w:r>
          </w:p>
        </w:tc>
      </w:tr>
      <w:tr>
        <w:trPr>
          <w:cantSplit/>
        </w:trPr>
        <w:tc>
          <w:tcPr>
            <w:tcW w:type="dxa" w:w="2160"/>
          </w:tcPr>
          <w:p>
            <w:r/>
            <w:r>
              <w:rPr>
                <w:sz w:val="17"/>
              </w:rPr>
              <w:t>E8</w:t>
            </w:r>
          </w:p>
        </w:tc>
        <w:tc>
          <w:tcPr>
            <w:tcW w:type="dxa" w:w="2160"/>
          </w:tcPr>
          <w:p>
            <w:r/>
            <w:r>
              <w:rPr>
                <w:sz w:val="17"/>
              </w:rPr>
              <w:t>Latency / throughput</w:t>
            </w:r>
          </w:p>
        </w:tc>
        <w:tc>
          <w:tcPr>
            <w:tcW w:type="dxa" w:w="2160"/>
          </w:tcPr>
          <w:p>
            <w:r/>
            <w:r>
              <w:rPr>
                <w:sz w:val="17"/>
              </w:rPr>
              <w:t>+16% throughput at c=8; latency flat single-session</w:t>
            </w:r>
          </w:p>
        </w:tc>
        <w:tc>
          <w:tcPr>
            <w:tcW w:type="dxa" w:w="2160"/>
          </w:tcPr>
          <w:p>
            <w:r/>
            <w:r>
              <w:rPr>
                <w:sz w:val="17"/>
              </w:rPr>
              <w:t>1</w:t>
            </w:r>
          </w:p>
        </w:tc>
      </w:tr>
      <w:tr>
        <w:trPr>
          <w:cantSplit/>
        </w:trPr>
        <w:tc>
          <w:tcPr>
            <w:tcW w:type="dxa" w:w="2160"/>
          </w:tcPr>
          <w:p>
            <w:r/>
            <w:r>
              <w:rPr>
                <w:sz w:val="17"/>
              </w:rPr>
              <w:t>E5</w:t>
            </w:r>
          </w:p>
        </w:tc>
        <w:tc>
          <w:tcPr>
            <w:tcW w:type="dxa" w:w="2160"/>
          </w:tcPr>
          <w:p>
            <w:r/>
            <w:r>
              <w:rPr>
                <w:sz w:val="17"/>
              </w:rPr>
              <w:t>Loss reduction</w:t>
            </w:r>
          </w:p>
        </w:tc>
        <w:tc>
          <w:tcPr>
            <w:tcW w:type="dxa" w:w="2160"/>
          </w:tcPr>
          <w:p>
            <w:r/>
            <w:r>
              <w:rPr>
                <w:sz w:val="17"/>
              </w:rPr>
              <w:t>batch mildly beats per-response (single run)</w:t>
            </w:r>
          </w:p>
        </w:tc>
        <w:tc>
          <w:tcPr>
            <w:tcW w:type="dxa" w:w="2160"/>
          </w:tcPr>
          <w:p>
            <w:r/>
            <w:r>
              <w:rPr>
                <w:sz w:val="17"/>
              </w:rPr>
              <w:t>6</w:t>
            </w:r>
          </w:p>
        </w:tc>
      </w:tr>
      <w:tr>
        <w:trPr>
          <w:cantSplit/>
        </w:trPr>
        <w:tc>
          <w:tcPr>
            <w:tcW w:type="dxa" w:w="2160"/>
          </w:tcPr>
          <w:p>
            <w:r/>
            <w:r>
              <w:rPr>
                <w:sz w:val="17"/>
              </w:rPr>
              <w:t>E6</w:t>
            </w:r>
          </w:p>
        </w:tc>
        <w:tc>
          <w:tcPr>
            <w:tcW w:type="dxa" w:w="2160"/>
          </w:tcPr>
          <w:p>
            <w:r/>
            <w:r>
              <w:rPr>
                <w:sz w:val="17"/>
              </w:rPr>
              <w:t>Coverage / rare tools</w:t>
            </w:r>
          </w:p>
        </w:tc>
        <w:tc>
          <w:tcPr>
            <w:tcW w:type="dxa" w:w="2160"/>
          </w:tcPr>
          <w:p>
            <w:r/>
            <w:r>
              <w:rPr>
                <w:sz w:val="17"/>
              </w:rPr>
              <w:t>contaminated, withdrawn</w:t>
            </w:r>
          </w:p>
        </w:tc>
        <w:tc>
          <w:tcPr>
            <w:tcW w:type="dxa" w:w="2160"/>
          </w:tcPr>
          <w:p>
            <w:r/>
            <w:r>
              <w:rPr>
                <w:sz w:val="17"/>
              </w:rPr>
              <w:t>11</w:t>
            </w:r>
          </w:p>
        </w:tc>
      </w:tr>
      <w:tr>
        <w:trPr>
          <w:cantSplit/>
        </w:trPr>
        <w:tc>
          <w:tcPr>
            <w:tcW w:type="dxa" w:w="2160"/>
          </w:tcPr>
          <w:p>
            <w:r/>
            <w:r>
              <w:rPr>
                <w:sz w:val="17"/>
              </w:rPr>
              <w:t>E4-seg</w:t>
            </w:r>
          </w:p>
        </w:tc>
        <w:tc>
          <w:tcPr>
            <w:tcW w:type="dxa" w:w="2160"/>
          </w:tcPr>
          <w:p>
            <w:r/>
            <w:r>
              <w:rPr>
                <w:sz w:val="17"/>
              </w:rPr>
              <w:t>Per-segment ratio</w:t>
            </w:r>
          </w:p>
        </w:tc>
        <w:tc>
          <w:tcPr>
            <w:tcW w:type="dxa" w:w="2160"/>
          </w:tcPr>
          <w:p>
            <w:r/>
            <w:r>
              <w:rPr>
                <w:sz w:val="17"/>
              </w:rPr>
              <w:t>inconclusive (harness faults); rows saved</w:t>
            </w:r>
          </w:p>
        </w:tc>
        <w:tc>
          <w:tcPr>
            <w:tcW w:type="dxa" w:w="2160"/>
          </w:tcPr>
          <w:p>
            <w:r/>
            <w:r>
              <w:rPr>
                <w:sz w:val="17"/>
              </w:rPr>
              <w:t>~24</w:t>
            </w:r>
          </w:p>
        </w:tc>
      </w:tr>
      <w:tr>
        <w:trPr>
          <w:cantSplit/>
        </w:trPr>
        <w:tc>
          <w:tcPr>
            <w:tcW w:type="dxa" w:w="2160"/>
          </w:tcPr>
          <w:p>
            <w:r/>
            <w:r>
              <w:rPr>
                <w:sz w:val="17"/>
              </w:rPr>
              <w:t>J10</w:t>
            </w:r>
          </w:p>
        </w:tc>
        <w:tc>
          <w:tcPr>
            <w:tcW w:type="dxa" w:w="2160"/>
          </w:tcPr>
          <w:p>
            <w:r/>
            <w:r>
              <w:rPr>
                <w:sz w:val="17"/>
              </w:rPr>
              <w:t>Serving benchmark, tuned server (H100 NVL)</w:t>
            </w:r>
          </w:p>
        </w:tc>
        <w:tc>
          <w:tcPr>
            <w:tcW w:type="dxa" w:w="2160"/>
          </w:tcPr>
          <w:p>
            <w:r/>
            <w:r>
              <w:rPr>
                <w:sz w:val="17"/>
              </w:rPr>
              <w:t>2x load within objective; +44% peak; cache ablation; ceiling probe; 16:1 arm</w:t>
            </w:r>
          </w:p>
        </w:tc>
        <w:tc>
          <w:tcPr>
            <w:tcW w:type="dxa" w:w="2160"/>
          </w:tcPr>
          <w:p>
            <w:r/>
            <w:r>
              <w:rPr>
                <w:sz w:val="17"/>
              </w:rPr>
              <w:t>9</w:t>
            </w:r>
          </w:p>
        </w:tc>
      </w:tr>
      <w:tr>
        <w:trPr>
          <w:cantSplit/>
        </w:trPr>
        <w:tc>
          <w:tcPr>
            <w:tcW w:type="dxa" w:w="2160"/>
          </w:tcPr>
          <w:p>
            <w:r/>
            <w:r>
              <w:rPr>
                <w:sz w:val="17"/>
              </w:rPr>
              <w:t>J10b</w:t>
            </w:r>
          </w:p>
        </w:tc>
        <w:tc>
          <w:tcPr>
            <w:tcW w:type="dxa" w:w="2160"/>
          </w:tcPr>
          <w:p>
            <w:r/>
            <w:r>
              <w:rPr>
                <w:sz w:val="17"/>
              </w:rPr>
              <w:t>Cross-hardware (H200 NVL, same config)</w:t>
            </w:r>
          </w:p>
        </w:tc>
        <w:tc>
          <w:tcPr>
            <w:tcW w:type="dxa" w:w="2160"/>
          </w:tcPr>
          <w:p>
            <w:r/>
            <w:r>
              <w:rPr>
                <w:sz w:val="17"/>
              </w:rPr>
              <w:t>peak -2%; historical 3.1x at 128 through capped client; quoted-price comparison corrected</w:t>
            </w:r>
          </w:p>
        </w:tc>
        <w:tc>
          <w:tcPr>
            <w:tcW w:type="dxa" w:w="2160"/>
          </w:tcPr>
          <w:p>
            <w:r/>
            <w:r>
              <w:rPr>
                <w:sz w:val="17"/>
              </w:rPr>
              <w:t>2</w:t>
            </w:r>
          </w:p>
        </w:tc>
      </w:tr>
      <w:tr>
        <w:trPr>
          <w:cantSplit/>
        </w:trPr>
        <w:tc>
          <w:tcPr>
            <w:tcW w:type="dxa" w:w="2160"/>
          </w:tcPr>
          <w:p>
            <w:r/>
            <w:r>
              <w:rPr>
                <w:sz w:val="17"/>
              </w:rPr>
              <w:t>J11</w:t>
            </w:r>
          </w:p>
        </w:tc>
        <w:tc>
          <w:tcPr>
            <w:tcW w:type="dxa" w:w="2160"/>
          </w:tcPr>
          <w:p>
            <w:r/>
            <w:r>
              <w:rPr>
                <w:sz w:val="17"/>
              </w:rPr>
              <w:t>Connection-limit control (H200 NVL)</w:t>
            </w:r>
          </w:p>
        </w:tc>
        <w:tc>
          <w:tcPr>
            <w:tcW w:type="dxa" w:w="2160"/>
          </w:tcPr>
          <w:p>
            <w:r/>
            <w:r>
              <w:rPr>
                <w:sz w:val="17"/>
              </w:rPr>
              <w:t>100-request ceiling withdrawn; eight runs; includes aborted first instance</w:t>
            </w:r>
          </w:p>
        </w:tc>
        <w:tc>
          <w:tcPr>
            <w:tcW w:type="dxa" w:w="2160"/>
          </w:tcPr>
          <w:p>
            <w:r/>
            <w:r>
              <w:rPr>
                <w:sz w:val="17"/>
              </w:rPr>
              <w:t>1.15</w:t>
            </w:r>
          </w:p>
        </w:tc>
      </w:tr>
    </w:tbl>
    <w:p>
      <w:r>
        <w:rPr>
          <w:color w:val="565B62"/>
          <w:sz w:val="18"/>
        </w:rPr>
        <w:t>Table 7. All experiments and approximate GPU-hours on single GPUs; J10 used H100 NVL and H200 NVL, and J11 used H200 NVL. The J11 total includes the aborted first instance. The paper’s claims were stress-tested by an independent, model-assisted adversarial review over the frozen code, logs, and figures; its findings are reconciled into the text. The review is a check on our reporting, not an empirical validation of the method.</w:t>
      </w:r>
    </w:p>
    <w:p>
      <w:r>
        <w:t xml:space="preserve">Code paths: </w:t>
      </w:r>
      <w:r>
        <w:rPr>
          <w:rFonts w:ascii="Consolas" w:hAnsi="Consolas"/>
          <w:sz w:val="18"/>
        </w:rPr>
        <w:t>proxy/tap.py</w:t>
      </w:r>
      <w:r>
        <w:t xml:space="preserve">; </w:t>
      </w:r>
      <w:r>
        <w:rPr>
          <w:rFonts w:ascii="Consolas" w:hAnsi="Consolas"/>
          <w:sz w:val="18"/>
        </w:rPr>
        <w:t>driver/{run_sessions_local.sh,tasks_*.txt,eval_*.py}</w:t>
      </w:r>
      <w:r>
        <w:t xml:space="preserve">; </w:t>
      </w:r>
      <w:r>
        <w:rPr>
          <w:rFonts w:ascii="Consolas" w:hAnsi="Consolas"/>
          <w:sz w:val="18"/>
        </w:rPr>
        <w:t>gist/{segments.py,prepare_checkpoint.py,dataset.py,teacher_cache.py,train.py,export_rows.py,mask_gist_logits.py}</w:t>
      </w:r>
      <w:r>
        <w:t xml:space="preserve">; serving </w:t>
      </w:r>
      <w:r>
        <w:rPr>
          <w:rFonts w:ascii="Consolas" w:hAnsi="Consolas"/>
          <w:sz w:val="18"/>
        </w:rPr>
        <w:t>vast/serve_gist.sh</w:t>
      </w:r>
      <w:r>
        <w:t xml:space="preserve"> with the conditional template; orchestration under </w:t>
      </w:r>
      <w:r>
        <w:rPr>
          <w:rFonts w:ascii="Consolas" w:hAnsi="Consolas"/>
          <w:sz w:val="18"/>
        </w:rPr>
        <w:t>loop/</w:t>
      </w:r>
      <w:r>
        <w:t>.</w:t>
      </w:r>
    </w:p>
    <w:p>
      <w:pPr>
        <w:pStyle w:val="Heading1"/>
      </w:pPr>
      <w:r>
        <w:rPr>
          <w:rFonts w:ascii="Consolas" w:hAnsi="Consolas"/>
          <w:b/>
          <w:color w:val="1F5F6E"/>
        </w:rPr>
        <w:t xml:space="preserve">R </w:t>
      </w:r>
      <w:r>
        <w:t>References</w:t>
      </w:r>
    </w:p>
    <w:p>
      <w:pPr>
        <w:ind w:left="360" w:hanging="360"/>
      </w:pPr>
      <w:r>
        <w:t xml:space="preserve">1. </w:t>
      </w:r>
      <w:r>
        <w:t>J. Mu, X. Li, N. Goodman. Learning to Compress Prompts with Gist Tokens. NeurIPS 2023.</w:t>
      </w:r>
    </w:p>
    <w:p>
      <w:pPr>
        <w:ind w:left="360" w:hanging="360"/>
      </w:pPr>
      <w:r>
        <w:t xml:space="preserve">2. </w:t>
      </w:r>
      <w:r>
        <w:t>D. Wingate, M. Shoeybi, T. Sorensen. Prompt Compression and Contrastive Conditioning for Controllability and Toxicity Reduction in Language Models. Findings of EMNLP 2022.</w:t>
      </w:r>
    </w:p>
    <w:p>
      <w:pPr>
        <w:ind w:left="360" w:hanging="360"/>
      </w:pPr>
      <w:r>
        <w:t xml:space="preserve">3. </w:t>
      </w:r>
      <w:r>
        <w:t>Shopify Engineering. Gisting: context compression for a production coding agent. Technical report, shopify.engineering/gisting, 2025.</w:t>
      </w:r>
    </w:p>
    <w:p>
      <w:pPr>
        <w:ind w:left="360" w:hanging="360"/>
      </w:pPr>
      <w:r>
        <w:t xml:space="preserve">4. </w:t>
      </w:r>
      <w:r>
        <w:t>G. Hinton, O. Vinyals, J. Dean. Distilling the Knowledge in a Neural Network. NeurIPS Deep Learning Workshop, 2015.</w:t>
      </w:r>
    </w:p>
    <w:p>
      <w:pPr>
        <w:ind w:left="360" w:hanging="360"/>
      </w:pPr>
      <w:r>
        <w:t xml:space="preserve">5. </w:t>
      </w:r>
      <w:r>
        <w:t>A. Gu, T. Dao. Mamba: Linear-Time Sequence Modeling with Selective State Spaces. 2023. (Cited for linear-attention background; the served model’s own configuration, not Mamba, specifies its 16/64 full-attention layer mix.)</w:t>
      </w:r>
    </w:p>
    <w:p>
      <w:pPr>
        <w:ind w:left="360" w:hanging="360"/>
      </w:pPr>
      <w:r>
        <w:t xml:space="preserve">6. </w:t>
      </w:r>
      <w:r>
        <w:t>A. Chevalier, A. Wettig, A. Ajith, D. Chen. Adapting Language Models to Compress Contexts (AutoCompressor). EMNLP 2023.</w:t>
      </w:r>
    </w:p>
    <w:p>
      <w:pPr>
        <w:ind w:left="360" w:hanging="360"/>
      </w:pPr>
      <w:r>
        <w:t xml:space="preserve">7. </w:t>
      </w:r>
      <w:r>
        <w:t>T. Ge, J. Hu, L. Wang, X. Wang, S. Chen, F. Wei. In-context Autoencoder for Context Compression in a Large Language Model. ICLR 2024.</w:t>
      </w:r>
    </w:p>
    <w:p>
      <w:pPr>
        <w:ind w:left="360" w:hanging="360"/>
      </w:pPr>
      <w:r>
        <w:t xml:space="preserve">8. </w:t>
      </w:r>
      <w:r>
        <w:t>B. Lester, R. Al-Rfou, N. Constant. The Power of Scale for Parameter-Efficient Prompt Tuning. EMNLP 2021.</w:t>
      </w:r>
    </w:p>
    <w:p>
      <w:pPr>
        <w:ind w:left="360" w:hanging="360"/>
      </w:pPr>
      <w:r>
        <w:t xml:space="preserve">9. </w:t>
      </w:r>
      <w:r>
        <w:t>H. Jiang, Q. Wu, C.-Y. Lin, Y. Yang, L. Qiu. LLMLingua: Compressing Prompts for Accelerated Inference of Large Language Models. EMNLP 2023.</w:t>
      </w:r>
    </w:p>
    <w:p>
      <w:pPr>
        <w:ind w:left="360" w:hanging="360"/>
      </w:pPr>
      <w:r>
        <w:t xml:space="preserve">10. </w:t>
      </w:r>
      <w:r>
        <w:t>Anthropic. Advanced tool use: tool search and programmatic tool calling. anthropic.com/engineering/advanced-tool-use, 2025.</w:t>
      </w:r>
    </w:p>
    <w:p/>
    <w:p>
      <w:r>
        <w:t>Development study. All evaluations are single runs of small, partly reused, author-designed task sets and should not be read as validated benchmarks. Model, client, and configuration are fixed; results may not transfer to other agents or models. No individuals or private systems are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