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F585" w14:textId="37E798CC" w:rsidR="00703465" w:rsidRDefault="00B960BD">
      <w:r>
        <w:rPr>
          <w:noProof/>
        </w:rPr>
        <w:drawing>
          <wp:anchor distT="0" distB="0" distL="114300" distR="114300" simplePos="0" relativeHeight="251660288" behindDoc="1" locked="0" layoutInCell="1" allowOverlap="1" wp14:anchorId="59F7711C" wp14:editId="4ADDACA4">
            <wp:simplePos x="0" y="0"/>
            <wp:positionH relativeFrom="margin">
              <wp:align>center</wp:align>
            </wp:positionH>
            <wp:positionV relativeFrom="paragraph">
              <wp:posOffset>2648585</wp:posOffset>
            </wp:positionV>
            <wp:extent cx="7248525" cy="3167380"/>
            <wp:effectExtent l="0" t="0" r="9525" b="13970"/>
            <wp:wrapNone/>
            <wp:docPr id="1736292157" name="Diagramm 2">
              <a:extLst xmlns:a="http://schemas.openxmlformats.org/drawingml/2006/main">
                <a:ext uri="{FF2B5EF4-FFF2-40B4-BE49-F238E27FC236}">
                  <a16:creationId xmlns:a16="http://schemas.microsoft.com/office/drawing/2014/main" id="{9DFB914A-76CB-4CD6-8265-8C6C268BCA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FFBDA32" wp14:editId="624BCA02">
            <wp:simplePos x="0" y="0"/>
            <wp:positionH relativeFrom="margin">
              <wp:align>center</wp:align>
            </wp:positionH>
            <wp:positionV relativeFrom="paragraph">
              <wp:posOffset>-728345</wp:posOffset>
            </wp:positionV>
            <wp:extent cx="7248525" cy="3221355"/>
            <wp:effectExtent l="0" t="0" r="9525" b="17145"/>
            <wp:wrapNone/>
            <wp:docPr id="39308439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F4E06C2F-E7AA-3D2C-DE2A-33968D27D6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C0B539D" wp14:editId="545344E0">
            <wp:simplePos x="0" y="0"/>
            <wp:positionH relativeFrom="margin">
              <wp:align>center</wp:align>
            </wp:positionH>
            <wp:positionV relativeFrom="paragraph">
              <wp:posOffset>5915660</wp:posOffset>
            </wp:positionV>
            <wp:extent cx="7248525" cy="3547745"/>
            <wp:effectExtent l="0" t="0" r="9525" b="14605"/>
            <wp:wrapNone/>
            <wp:docPr id="1830226115" name="Diagramm 3">
              <a:extLst xmlns:a="http://schemas.openxmlformats.org/drawingml/2006/main">
                <a:ext uri="{FF2B5EF4-FFF2-40B4-BE49-F238E27FC236}">
                  <a16:creationId xmlns:a16="http://schemas.microsoft.com/office/drawing/2014/main" id="{C83F0C2E-C7E3-29E8-83B5-3A6A2693C4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34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BD"/>
    <w:rsid w:val="00703465"/>
    <w:rsid w:val="00A46330"/>
    <w:rsid w:val="00A63344"/>
    <w:rsid w:val="00B24A4E"/>
    <w:rsid w:val="00B960BD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6EF53"/>
  <w15:chartTrackingRefBased/>
  <w15:docId w15:val="{E3E4CC86-0FBC-44EC-B0B6-2D3ACEE8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6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6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6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6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60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60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60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60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60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60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60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60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60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6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60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6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year%20of%20reaction\year%20of%20reaction%20diagramm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year%20of%20reaction\year%20of%20reaction%20diagramm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year%20of%20reaction\year%20of%20reaction%20diagramm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de-DE"/>
              <a:t>Leber_Ibu year of reaction frequency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Tabelle1!$A$195:$AE$195</c:f>
              <c:numCache>
                <c:formatCode>General</c:formatCode>
                <c:ptCount val="31"/>
                <c:pt idx="0">
                  <c:v>1990</c:v>
                </c:pt>
                <c:pt idx="1">
                  <c:v>1991</c:v>
                </c:pt>
                <c:pt idx="2">
                  <c:v>1992</c:v>
                </c:pt>
                <c:pt idx="3">
                  <c:v>1993</c:v>
                </c:pt>
                <c:pt idx="4">
                  <c:v>1994</c:v>
                </c:pt>
                <c:pt idx="5">
                  <c:v>1995</c:v>
                </c:pt>
                <c:pt idx="6">
                  <c:v>1996</c:v>
                </c:pt>
                <c:pt idx="7">
                  <c:v>1997</c:v>
                </c:pt>
                <c:pt idx="8">
                  <c:v>1998</c:v>
                </c:pt>
                <c:pt idx="9">
                  <c:v>1999</c:v>
                </c:pt>
                <c:pt idx="10">
                  <c:v>2000</c:v>
                </c:pt>
                <c:pt idx="11">
                  <c:v>2001</c:v>
                </c:pt>
                <c:pt idx="12">
                  <c:v>2002</c:v>
                </c:pt>
                <c:pt idx="13">
                  <c:v>2003</c:v>
                </c:pt>
                <c:pt idx="14">
                  <c:v>2004</c:v>
                </c:pt>
                <c:pt idx="15">
                  <c:v>2005</c:v>
                </c:pt>
                <c:pt idx="16">
                  <c:v>2006</c:v>
                </c:pt>
                <c:pt idx="17">
                  <c:v>2007</c:v>
                </c:pt>
                <c:pt idx="18">
                  <c:v>2008</c:v>
                </c:pt>
                <c:pt idx="19">
                  <c:v>2009</c:v>
                </c:pt>
                <c:pt idx="20">
                  <c:v>2010</c:v>
                </c:pt>
                <c:pt idx="21">
                  <c:v>2011</c:v>
                </c:pt>
                <c:pt idx="22">
                  <c:v>2012</c:v>
                </c:pt>
                <c:pt idx="23">
                  <c:v>2013</c:v>
                </c:pt>
                <c:pt idx="24">
                  <c:v>2014</c:v>
                </c:pt>
                <c:pt idx="25">
                  <c:v>2015</c:v>
                </c:pt>
                <c:pt idx="26">
                  <c:v>2016</c:v>
                </c:pt>
                <c:pt idx="27">
                  <c:v>2017</c:v>
                </c:pt>
                <c:pt idx="28">
                  <c:v>2018</c:v>
                </c:pt>
                <c:pt idx="29">
                  <c:v>2019</c:v>
                </c:pt>
                <c:pt idx="30">
                  <c:v>2020</c:v>
                </c:pt>
              </c:numCache>
            </c:numRef>
          </c:cat>
          <c:val>
            <c:numRef>
              <c:f>Tabelle1!$A$196:$AE$196</c:f>
              <c:numCache>
                <c:formatCode>General</c:formatCode>
                <c:ptCount val="3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2</c:v>
                </c:pt>
                <c:pt idx="12">
                  <c:v>2</c:v>
                </c:pt>
                <c:pt idx="13">
                  <c:v>6</c:v>
                </c:pt>
                <c:pt idx="14">
                  <c:v>1</c:v>
                </c:pt>
                <c:pt idx="15">
                  <c:v>2</c:v>
                </c:pt>
                <c:pt idx="16">
                  <c:v>6</c:v>
                </c:pt>
                <c:pt idx="17">
                  <c:v>3</c:v>
                </c:pt>
                <c:pt idx="18">
                  <c:v>8</c:v>
                </c:pt>
                <c:pt idx="19">
                  <c:v>10</c:v>
                </c:pt>
                <c:pt idx="20">
                  <c:v>11</c:v>
                </c:pt>
                <c:pt idx="21">
                  <c:v>16</c:v>
                </c:pt>
                <c:pt idx="22">
                  <c:v>2</c:v>
                </c:pt>
                <c:pt idx="23">
                  <c:v>1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17-4BC0-96AA-3B3C654C11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25"/>
        <c:axId val="250875040"/>
        <c:axId val="250878400"/>
      </c:barChart>
      <c:catAx>
        <c:axId val="250875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50878400"/>
        <c:crosses val="autoZero"/>
        <c:auto val="1"/>
        <c:lblAlgn val="ctr"/>
        <c:lblOffset val="100"/>
        <c:noMultiLvlLbl val="0"/>
      </c:catAx>
      <c:valAx>
        <c:axId val="250878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50875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de-DE"/>
              <a:t>Leber_Diclo year of reaction frequency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Tabelle1!$A$63:$AE$63</c:f>
              <c:numCache>
                <c:formatCode>General</c:formatCode>
                <c:ptCount val="31"/>
                <c:pt idx="0">
                  <c:v>1990</c:v>
                </c:pt>
                <c:pt idx="1">
                  <c:v>1991</c:v>
                </c:pt>
                <c:pt idx="2">
                  <c:v>1992</c:v>
                </c:pt>
                <c:pt idx="3">
                  <c:v>1993</c:v>
                </c:pt>
                <c:pt idx="4">
                  <c:v>1994</c:v>
                </c:pt>
                <c:pt idx="5">
                  <c:v>1995</c:v>
                </c:pt>
                <c:pt idx="6">
                  <c:v>1996</c:v>
                </c:pt>
                <c:pt idx="7">
                  <c:v>1997</c:v>
                </c:pt>
                <c:pt idx="8">
                  <c:v>1998</c:v>
                </c:pt>
                <c:pt idx="9">
                  <c:v>1999</c:v>
                </c:pt>
                <c:pt idx="10">
                  <c:v>2000</c:v>
                </c:pt>
                <c:pt idx="11">
                  <c:v>2001</c:v>
                </c:pt>
                <c:pt idx="12">
                  <c:v>2002</c:v>
                </c:pt>
                <c:pt idx="13">
                  <c:v>2003</c:v>
                </c:pt>
                <c:pt idx="14">
                  <c:v>2004</c:v>
                </c:pt>
                <c:pt idx="15">
                  <c:v>2005</c:v>
                </c:pt>
                <c:pt idx="16">
                  <c:v>2006</c:v>
                </c:pt>
                <c:pt idx="17">
                  <c:v>2007</c:v>
                </c:pt>
                <c:pt idx="18">
                  <c:v>2008</c:v>
                </c:pt>
                <c:pt idx="19">
                  <c:v>2009</c:v>
                </c:pt>
                <c:pt idx="20">
                  <c:v>2010</c:v>
                </c:pt>
                <c:pt idx="21">
                  <c:v>2011</c:v>
                </c:pt>
                <c:pt idx="22">
                  <c:v>2012</c:v>
                </c:pt>
                <c:pt idx="23">
                  <c:v>2013</c:v>
                </c:pt>
                <c:pt idx="24">
                  <c:v>2014</c:v>
                </c:pt>
                <c:pt idx="25">
                  <c:v>2015</c:v>
                </c:pt>
                <c:pt idx="26">
                  <c:v>2016</c:v>
                </c:pt>
                <c:pt idx="27">
                  <c:v>2017</c:v>
                </c:pt>
                <c:pt idx="28">
                  <c:v>2018</c:v>
                </c:pt>
                <c:pt idx="29">
                  <c:v>2019</c:v>
                </c:pt>
                <c:pt idx="30">
                  <c:v>2020</c:v>
                </c:pt>
              </c:numCache>
            </c:numRef>
          </c:cat>
          <c:val>
            <c:numRef>
              <c:f>Tabelle1!$A$64:$AE$64</c:f>
              <c:numCache>
                <c:formatCode>General</c:formatCode>
                <c:ptCount val="31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1</c:v>
                </c:pt>
                <c:pt idx="6">
                  <c:v>2</c:v>
                </c:pt>
                <c:pt idx="7">
                  <c:v>2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3</c:v>
                </c:pt>
                <c:pt idx="12">
                  <c:v>7</c:v>
                </c:pt>
                <c:pt idx="13">
                  <c:v>12</c:v>
                </c:pt>
                <c:pt idx="14">
                  <c:v>9</c:v>
                </c:pt>
                <c:pt idx="15">
                  <c:v>9</c:v>
                </c:pt>
                <c:pt idx="16">
                  <c:v>7</c:v>
                </c:pt>
                <c:pt idx="17">
                  <c:v>7</c:v>
                </c:pt>
                <c:pt idx="18">
                  <c:v>12</c:v>
                </c:pt>
                <c:pt idx="19">
                  <c:v>10</c:v>
                </c:pt>
                <c:pt idx="20">
                  <c:v>14</c:v>
                </c:pt>
                <c:pt idx="21">
                  <c:v>11</c:v>
                </c:pt>
                <c:pt idx="22">
                  <c:v>4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A8-4F85-BC78-AE48E68198E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25"/>
        <c:axId val="31947792"/>
        <c:axId val="31946352"/>
      </c:barChart>
      <c:catAx>
        <c:axId val="319477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31946352"/>
        <c:crosses val="autoZero"/>
        <c:auto val="1"/>
        <c:lblAlgn val="ctr"/>
        <c:lblOffset val="100"/>
        <c:noMultiLvlLbl val="0"/>
      </c:catAx>
      <c:valAx>
        <c:axId val="31946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319477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5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de-DE"/>
              <a:t>Leber_Para year of reaction frequency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Tabelle1!$A$328:$AE$328</c:f>
              <c:numCache>
                <c:formatCode>General</c:formatCode>
                <c:ptCount val="31"/>
                <c:pt idx="0">
                  <c:v>1990</c:v>
                </c:pt>
                <c:pt idx="1">
                  <c:v>1991</c:v>
                </c:pt>
                <c:pt idx="2">
                  <c:v>1992</c:v>
                </c:pt>
                <c:pt idx="3">
                  <c:v>1993</c:v>
                </c:pt>
                <c:pt idx="4">
                  <c:v>1994</c:v>
                </c:pt>
                <c:pt idx="5">
                  <c:v>1995</c:v>
                </c:pt>
                <c:pt idx="6">
                  <c:v>1996</c:v>
                </c:pt>
                <c:pt idx="7">
                  <c:v>1997</c:v>
                </c:pt>
                <c:pt idx="8">
                  <c:v>1998</c:v>
                </c:pt>
                <c:pt idx="9">
                  <c:v>1999</c:v>
                </c:pt>
                <c:pt idx="10">
                  <c:v>2000</c:v>
                </c:pt>
                <c:pt idx="11">
                  <c:v>2001</c:v>
                </c:pt>
                <c:pt idx="12">
                  <c:v>2002</c:v>
                </c:pt>
                <c:pt idx="13">
                  <c:v>2003</c:v>
                </c:pt>
                <c:pt idx="14">
                  <c:v>2004</c:v>
                </c:pt>
                <c:pt idx="15">
                  <c:v>2005</c:v>
                </c:pt>
                <c:pt idx="16">
                  <c:v>2006</c:v>
                </c:pt>
                <c:pt idx="17">
                  <c:v>2007</c:v>
                </c:pt>
                <c:pt idx="18">
                  <c:v>2008</c:v>
                </c:pt>
                <c:pt idx="19">
                  <c:v>2009</c:v>
                </c:pt>
                <c:pt idx="20">
                  <c:v>2010</c:v>
                </c:pt>
                <c:pt idx="21">
                  <c:v>2011</c:v>
                </c:pt>
                <c:pt idx="22">
                  <c:v>2012</c:v>
                </c:pt>
                <c:pt idx="23">
                  <c:v>2013</c:v>
                </c:pt>
                <c:pt idx="24">
                  <c:v>2014</c:v>
                </c:pt>
                <c:pt idx="25">
                  <c:v>2015</c:v>
                </c:pt>
                <c:pt idx="26">
                  <c:v>2016</c:v>
                </c:pt>
                <c:pt idx="27">
                  <c:v>2017</c:v>
                </c:pt>
                <c:pt idx="28">
                  <c:v>2018</c:v>
                </c:pt>
                <c:pt idx="29">
                  <c:v>2019</c:v>
                </c:pt>
                <c:pt idx="30">
                  <c:v>2020</c:v>
                </c:pt>
              </c:numCache>
            </c:numRef>
          </c:cat>
          <c:val>
            <c:numRef>
              <c:f>Tabelle1!$A$329:$AE$329</c:f>
              <c:numCache>
                <c:formatCode>General</c:formatCode>
                <c:ptCount val="31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1</c:v>
                </c:pt>
                <c:pt idx="5">
                  <c:v>2</c:v>
                </c:pt>
                <c:pt idx="6">
                  <c:v>1</c:v>
                </c:pt>
                <c:pt idx="7">
                  <c:v>3</c:v>
                </c:pt>
                <c:pt idx="8">
                  <c:v>2</c:v>
                </c:pt>
                <c:pt idx="9">
                  <c:v>2</c:v>
                </c:pt>
                <c:pt idx="10">
                  <c:v>3</c:v>
                </c:pt>
                <c:pt idx="11">
                  <c:v>0</c:v>
                </c:pt>
                <c:pt idx="12">
                  <c:v>5</c:v>
                </c:pt>
                <c:pt idx="13">
                  <c:v>3</c:v>
                </c:pt>
                <c:pt idx="14">
                  <c:v>8</c:v>
                </c:pt>
                <c:pt idx="15">
                  <c:v>5</c:v>
                </c:pt>
                <c:pt idx="16">
                  <c:v>4</c:v>
                </c:pt>
                <c:pt idx="17">
                  <c:v>5</c:v>
                </c:pt>
                <c:pt idx="18">
                  <c:v>7</c:v>
                </c:pt>
                <c:pt idx="19">
                  <c:v>5</c:v>
                </c:pt>
                <c:pt idx="20">
                  <c:v>11</c:v>
                </c:pt>
                <c:pt idx="21">
                  <c:v>5</c:v>
                </c:pt>
                <c:pt idx="22">
                  <c:v>4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11-461E-89A7-28183713756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25"/>
        <c:axId val="245667632"/>
        <c:axId val="245658032"/>
      </c:barChart>
      <c:catAx>
        <c:axId val="245667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45658032"/>
        <c:crosses val="autoZero"/>
        <c:auto val="1"/>
        <c:lblAlgn val="ctr"/>
        <c:lblOffset val="100"/>
        <c:noMultiLvlLbl val="0"/>
      </c:catAx>
      <c:valAx>
        <c:axId val="245658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45667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2025-10-02T22:08:00Z</dcterms:created>
  <dcterms:modified xsi:type="dcterms:W3CDTF">2025-10-02T22:13:00Z</dcterms:modified>
</cp:coreProperties>
</file>