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05E10" w14:textId="77777777" w:rsidR="0041404D" w:rsidRPr="0041404D" w:rsidRDefault="0041404D" w:rsidP="00C43643">
      <w:pPr>
        <w:spacing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41404D">
        <w:rPr>
          <w:rFonts w:ascii="Arial" w:hAnsi="Arial" w:cs="Arial"/>
          <w:b/>
          <w:bCs/>
          <w:sz w:val="20"/>
          <w:szCs w:val="20"/>
          <w:u w:val="single"/>
        </w:rPr>
        <w:t>Beschreibung der Dissertation</w:t>
      </w:r>
    </w:p>
    <w:p w14:paraId="57CC086B" w14:textId="63FA580A" w:rsidR="00A114FA" w:rsidRDefault="00863289" w:rsidP="00C43643">
      <w:pPr>
        <w:spacing w:line="240" w:lineRule="auto"/>
        <w:rPr>
          <w:rFonts w:ascii="Arial" w:hAnsi="Arial" w:cs="Arial"/>
          <w:sz w:val="20"/>
          <w:szCs w:val="20"/>
        </w:rPr>
      </w:pPr>
      <w:r w:rsidRPr="001A3B6C">
        <w:rPr>
          <w:rFonts w:ascii="Arial" w:hAnsi="Arial" w:cs="Arial"/>
          <w:sz w:val="20"/>
          <w:szCs w:val="20"/>
        </w:rPr>
        <w:t xml:space="preserve">Das Stevens-Johnson-Syndrom bezeichnet eine immunologische Fehlregulation </w:t>
      </w:r>
      <w:r w:rsidR="007C15BC">
        <w:rPr>
          <w:rFonts w:ascii="Arial" w:hAnsi="Arial" w:cs="Arial"/>
          <w:sz w:val="20"/>
          <w:szCs w:val="20"/>
        </w:rPr>
        <w:t xml:space="preserve">als Reaktion </w:t>
      </w:r>
      <w:r w:rsidRPr="001A3B6C">
        <w:rPr>
          <w:rFonts w:ascii="Arial" w:hAnsi="Arial" w:cs="Arial"/>
          <w:sz w:val="20"/>
          <w:szCs w:val="20"/>
        </w:rPr>
        <w:t xml:space="preserve">auf verschiedenste Medikamente </w:t>
      </w:r>
      <w:r w:rsidR="00B05E5B" w:rsidRPr="001A3B6C">
        <w:rPr>
          <w:rFonts w:ascii="Arial" w:hAnsi="Arial" w:cs="Arial"/>
          <w:sz w:val="20"/>
          <w:szCs w:val="20"/>
        </w:rPr>
        <w:t>und</w:t>
      </w:r>
      <w:r w:rsidRPr="001A3B6C">
        <w:rPr>
          <w:rFonts w:ascii="Arial" w:hAnsi="Arial" w:cs="Arial"/>
          <w:sz w:val="20"/>
          <w:szCs w:val="20"/>
        </w:rPr>
        <w:t xml:space="preserve"> Infektionskrankheiten</w:t>
      </w:r>
      <w:r w:rsidR="00B05E5B" w:rsidRPr="001A3B6C">
        <w:rPr>
          <w:rFonts w:ascii="Arial" w:hAnsi="Arial" w:cs="Arial"/>
          <w:sz w:val="20"/>
          <w:szCs w:val="20"/>
        </w:rPr>
        <w:t xml:space="preserve"> mit oftmals lebensbedrohlichen Symptomen. </w:t>
      </w:r>
      <w:r w:rsidR="001A3B6C">
        <w:rPr>
          <w:rFonts w:ascii="Arial" w:hAnsi="Arial" w:cs="Arial"/>
          <w:sz w:val="20"/>
          <w:szCs w:val="20"/>
        </w:rPr>
        <w:t>Nach Antiepileptika und Antibiotika stellen die nichtsteroidalen Antiphlogistika die häufigste Ursache für die</w:t>
      </w:r>
      <w:r w:rsidR="00FC2173">
        <w:rPr>
          <w:rFonts w:ascii="Arial" w:hAnsi="Arial" w:cs="Arial"/>
          <w:sz w:val="20"/>
          <w:szCs w:val="20"/>
        </w:rPr>
        <w:t>se</w:t>
      </w:r>
      <w:r w:rsidR="001A3B6C">
        <w:rPr>
          <w:rFonts w:ascii="Arial" w:hAnsi="Arial" w:cs="Arial"/>
          <w:sz w:val="20"/>
          <w:szCs w:val="20"/>
        </w:rPr>
        <w:t xml:space="preserve"> Erkrankung dar. </w:t>
      </w:r>
      <w:r w:rsidR="00B05E5B" w:rsidRPr="001A3B6C">
        <w:rPr>
          <w:rFonts w:ascii="Arial" w:hAnsi="Arial" w:cs="Arial"/>
          <w:sz w:val="20"/>
          <w:szCs w:val="20"/>
        </w:rPr>
        <w:t xml:space="preserve">Die Symptome lassen sich in verschiedene Stadien der Progression und des Schweregrades einteilen und </w:t>
      </w:r>
      <w:r w:rsidR="001A3B6C">
        <w:rPr>
          <w:rFonts w:ascii="Arial" w:hAnsi="Arial" w:cs="Arial"/>
          <w:sz w:val="20"/>
          <w:szCs w:val="20"/>
        </w:rPr>
        <w:t>umfassen</w:t>
      </w:r>
      <w:r w:rsidR="00B05E5B" w:rsidRPr="001A3B6C">
        <w:rPr>
          <w:rFonts w:ascii="Arial" w:hAnsi="Arial" w:cs="Arial"/>
          <w:sz w:val="20"/>
          <w:szCs w:val="20"/>
        </w:rPr>
        <w:t xml:space="preserve"> neben primären und sekundären Effloreszenzen auf Haut und Schleimhäuten oftmals auch ein allgemeines Krankheitsgefühl mit Fieber. </w:t>
      </w:r>
      <w:r w:rsidR="00195E12" w:rsidRPr="001A3B6C">
        <w:rPr>
          <w:rFonts w:ascii="Arial" w:hAnsi="Arial" w:cs="Arial"/>
          <w:sz w:val="20"/>
          <w:szCs w:val="20"/>
        </w:rPr>
        <w:t>Die</w:t>
      </w:r>
      <w:r w:rsidR="00B05E5B" w:rsidRPr="001A3B6C">
        <w:rPr>
          <w:rFonts w:ascii="Arial" w:hAnsi="Arial" w:cs="Arial"/>
          <w:sz w:val="20"/>
          <w:szCs w:val="20"/>
        </w:rPr>
        <w:t xml:space="preserve"> Pathophysiologie ist </w:t>
      </w:r>
      <w:r w:rsidR="00195E12" w:rsidRPr="001A3B6C">
        <w:rPr>
          <w:rFonts w:ascii="Arial" w:hAnsi="Arial" w:cs="Arial"/>
          <w:sz w:val="20"/>
          <w:szCs w:val="20"/>
        </w:rPr>
        <w:t>bislang noch weitestgehend ungeklärt.</w:t>
      </w:r>
      <w:r w:rsidR="00B05E5B" w:rsidRPr="001A3B6C">
        <w:rPr>
          <w:rFonts w:ascii="Arial" w:hAnsi="Arial" w:cs="Arial"/>
          <w:sz w:val="20"/>
          <w:szCs w:val="20"/>
        </w:rPr>
        <w:t xml:space="preserve"> </w:t>
      </w:r>
      <w:r w:rsidR="00195E12" w:rsidRPr="001A3B6C">
        <w:rPr>
          <w:rFonts w:ascii="Arial" w:hAnsi="Arial" w:cs="Arial"/>
          <w:sz w:val="20"/>
          <w:szCs w:val="20"/>
        </w:rPr>
        <w:t xml:space="preserve">Es wird von einer fälschlichen Aktivierung der zytotoxischen T-Lymphozyten und natürlichen Killerzellen durch </w:t>
      </w:r>
      <w:r w:rsidR="0045551D" w:rsidRPr="001A3B6C">
        <w:rPr>
          <w:rFonts w:ascii="Arial" w:hAnsi="Arial" w:cs="Arial"/>
          <w:sz w:val="20"/>
          <w:szCs w:val="20"/>
        </w:rPr>
        <w:t xml:space="preserve">die Interaktion </w:t>
      </w:r>
      <w:r w:rsidR="00195E12" w:rsidRPr="001A3B6C">
        <w:rPr>
          <w:rFonts w:ascii="Arial" w:hAnsi="Arial" w:cs="Arial"/>
          <w:sz w:val="20"/>
          <w:szCs w:val="20"/>
        </w:rPr>
        <w:t>medikamentöse</w:t>
      </w:r>
      <w:r w:rsidR="0045551D" w:rsidRPr="001A3B6C">
        <w:rPr>
          <w:rFonts w:ascii="Arial" w:hAnsi="Arial" w:cs="Arial"/>
          <w:sz w:val="20"/>
          <w:szCs w:val="20"/>
        </w:rPr>
        <w:t>r</w:t>
      </w:r>
      <w:r w:rsidR="00195E12" w:rsidRPr="001A3B6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195E12" w:rsidRPr="001A3B6C">
        <w:rPr>
          <w:rFonts w:ascii="Arial" w:hAnsi="Arial" w:cs="Arial"/>
          <w:sz w:val="20"/>
          <w:szCs w:val="20"/>
        </w:rPr>
        <w:t>Haptene</w:t>
      </w:r>
      <w:proofErr w:type="spellEnd"/>
      <w:r w:rsidR="0045551D" w:rsidRPr="001A3B6C">
        <w:rPr>
          <w:rFonts w:ascii="Arial" w:hAnsi="Arial" w:cs="Arial"/>
          <w:sz w:val="20"/>
          <w:szCs w:val="20"/>
        </w:rPr>
        <w:t xml:space="preserve"> bzw. </w:t>
      </w:r>
      <w:proofErr w:type="spellStart"/>
      <w:r w:rsidR="0045551D" w:rsidRPr="001A3B6C">
        <w:rPr>
          <w:rFonts w:ascii="Arial" w:hAnsi="Arial" w:cs="Arial"/>
          <w:sz w:val="20"/>
          <w:szCs w:val="20"/>
        </w:rPr>
        <w:t>Prohaptene</w:t>
      </w:r>
      <w:proofErr w:type="spellEnd"/>
      <w:r w:rsidR="0045551D" w:rsidRPr="001A3B6C">
        <w:rPr>
          <w:rFonts w:ascii="Arial" w:hAnsi="Arial" w:cs="Arial"/>
          <w:sz w:val="20"/>
          <w:szCs w:val="20"/>
        </w:rPr>
        <w:t xml:space="preserve"> mit deren </w:t>
      </w:r>
      <w:r w:rsidR="00370B3C" w:rsidRPr="001A3B6C">
        <w:rPr>
          <w:rFonts w:ascii="Arial" w:hAnsi="Arial" w:cs="Arial"/>
          <w:sz w:val="20"/>
          <w:szCs w:val="20"/>
        </w:rPr>
        <w:t>T-Zell-Rezeptoren oder HLA-Molekülen</w:t>
      </w:r>
      <w:r w:rsidR="0045551D" w:rsidRPr="001A3B6C">
        <w:rPr>
          <w:rFonts w:ascii="Arial" w:hAnsi="Arial" w:cs="Arial"/>
          <w:sz w:val="20"/>
          <w:szCs w:val="20"/>
        </w:rPr>
        <w:t xml:space="preserve"> ausgegangen.</w:t>
      </w:r>
      <w:r w:rsidR="00195E12" w:rsidRPr="001A3B6C">
        <w:rPr>
          <w:rFonts w:ascii="Arial" w:hAnsi="Arial" w:cs="Arial"/>
          <w:sz w:val="20"/>
          <w:szCs w:val="20"/>
        </w:rPr>
        <w:t xml:space="preserve"> </w:t>
      </w:r>
      <w:r w:rsidR="00370B3C" w:rsidRPr="001A3B6C">
        <w:rPr>
          <w:rFonts w:ascii="Arial" w:hAnsi="Arial" w:cs="Arial"/>
          <w:sz w:val="20"/>
          <w:szCs w:val="20"/>
        </w:rPr>
        <w:t xml:space="preserve">Auch die Interaktion mit dem Fas-Liganden auf Keratinozyten oder die vermehrte Ausschüttung von </w:t>
      </w:r>
      <w:proofErr w:type="spellStart"/>
      <w:r w:rsidR="00370B3C" w:rsidRPr="001A3B6C">
        <w:rPr>
          <w:rFonts w:ascii="Arial" w:hAnsi="Arial" w:cs="Arial"/>
          <w:sz w:val="20"/>
          <w:szCs w:val="20"/>
        </w:rPr>
        <w:t>Granulysin</w:t>
      </w:r>
      <w:proofErr w:type="spellEnd"/>
      <w:r w:rsidR="00370B3C" w:rsidRPr="001A3B6C">
        <w:rPr>
          <w:rFonts w:ascii="Arial" w:hAnsi="Arial" w:cs="Arial"/>
          <w:sz w:val="20"/>
          <w:szCs w:val="20"/>
        </w:rPr>
        <w:t xml:space="preserve"> werden in der Literatur beschrieben. </w:t>
      </w:r>
      <w:r w:rsidR="00952132">
        <w:rPr>
          <w:rFonts w:ascii="Arial" w:hAnsi="Arial" w:cs="Arial"/>
          <w:sz w:val="20"/>
          <w:szCs w:val="20"/>
        </w:rPr>
        <w:t xml:space="preserve">Die aktuelle Studienlage begrenzt sich im Wesentlichen auf </w:t>
      </w:r>
      <w:r w:rsidR="00723BFE">
        <w:rPr>
          <w:rFonts w:ascii="Arial" w:hAnsi="Arial" w:cs="Arial"/>
          <w:sz w:val="20"/>
          <w:szCs w:val="20"/>
        </w:rPr>
        <w:t>Fallberichte und die Forschung nach einem belastbaren Pathomechanismus.</w:t>
      </w:r>
    </w:p>
    <w:p w14:paraId="08B673C7" w14:textId="5C1CE0D7" w:rsidR="003B5209" w:rsidRPr="007C15BC" w:rsidRDefault="00AA4949" w:rsidP="00C43643">
      <w:pPr>
        <w:spacing w:line="240" w:lineRule="auto"/>
        <w:rPr>
          <w:rFonts w:ascii="Arial" w:hAnsi="Arial" w:cs="Arial"/>
          <w:sz w:val="20"/>
          <w:szCs w:val="20"/>
        </w:rPr>
      </w:pPr>
      <w:r w:rsidRPr="007C15BC">
        <w:rPr>
          <w:rFonts w:ascii="Arial" w:hAnsi="Arial" w:cs="Arial"/>
          <w:sz w:val="20"/>
          <w:szCs w:val="20"/>
        </w:rPr>
        <w:t>Im Zuge der Dissertation beschäftige ich mich mit der</w:t>
      </w:r>
      <w:r w:rsidR="001A3B6C" w:rsidRPr="007C15BC">
        <w:rPr>
          <w:rFonts w:ascii="Arial" w:hAnsi="Arial" w:cs="Arial"/>
          <w:sz w:val="20"/>
          <w:szCs w:val="20"/>
        </w:rPr>
        <w:t xml:space="preserve"> </w:t>
      </w:r>
      <w:r w:rsidR="00723BFE" w:rsidRPr="007C15BC">
        <w:rPr>
          <w:rFonts w:ascii="Arial" w:hAnsi="Arial" w:cs="Arial"/>
          <w:sz w:val="20"/>
          <w:szCs w:val="20"/>
        </w:rPr>
        <w:t xml:space="preserve">Auswertung von medikamenteninduzierten Stevens-Johnson-Fällen in Form von Spontanmeldungen des Bundesinstituts für Arzneimittel und Medizinprodukte. </w:t>
      </w:r>
      <w:r w:rsidR="00696D71" w:rsidRPr="007C15BC">
        <w:rPr>
          <w:rFonts w:ascii="Arial" w:hAnsi="Arial" w:cs="Arial"/>
          <w:sz w:val="20"/>
          <w:szCs w:val="20"/>
        </w:rPr>
        <w:t xml:space="preserve">Dabei handelt es sich um eine Sammlung eingescannter </w:t>
      </w:r>
      <w:r w:rsidR="007C15BC">
        <w:rPr>
          <w:rFonts w:ascii="Arial" w:hAnsi="Arial" w:cs="Arial"/>
          <w:sz w:val="20"/>
          <w:szCs w:val="20"/>
        </w:rPr>
        <w:t>Berichtsformulare über unerwünschte Medikamenten-Nebenwirkungen</w:t>
      </w:r>
      <w:r w:rsidR="00696D71" w:rsidRPr="007C15BC">
        <w:rPr>
          <w:rFonts w:ascii="Arial" w:hAnsi="Arial" w:cs="Arial"/>
          <w:sz w:val="20"/>
          <w:szCs w:val="20"/>
        </w:rPr>
        <w:t>, Arztbriefe, Medika</w:t>
      </w:r>
      <w:r w:rsidR="007C15BC">
        <w:rPr>
          <w:rFonts w:ascii="Arial" w:hAnsi="Arial" w:cs="Arial"/>
          <w:sz w:val="20"/>
          <w:szCs w:val="20"/>
        </w:rPr>
        <w:t>tions</w:t>
      </w:r>
      <w:r w:rsidR="00696D71" w:rsidRPr="007C15BC">
        <w:rPr>
          <w:rFonts w:ascii="Arial" w:hAnsi="Arial" w:cs="Arial"/>
          <w:sz w:val="20"/>
          <w:szCs w:val="20"/>
        </w:rPr>
        <w:t>listen und Laborberichten. Zu Beginn</w:t>
      </w:r>
      <w:r w:rsidR="00A95B28" w:rsidRPr="007C15BC">
        <w:rPr>
          <w:rFonts w:ascii="Arial" w:hAnsi="Arial" w:cs="Arial"/>
          <w:sz w:val="20"/>
          <w:szCs w:val="20"/>
        </w:rPr>
        <w:t xml:space="preserve"> erfolgt eine umfassende Literaturrecherche zur Erfassung des derzeitigen Kenntnisstandes über das Stevens-Johnson-Syndrom. </w:t>
      </w:r>
      <w:r w:rsidR="00DC2A16">
        <w:rPr>
          <w:rFonts w:ascii="Arial" w:hAnsi="Arial" w:cs="Arial"/>
          <w:sz w:val="20"/>
          <w:szCs w:val="20"/>
        </w:rPr>
        <w:t>D</w:t>
      </w:r>
      <w:r w:rsidR="00723BFE" w:rsidRPr="007C15BC">
        <w:rPr>
          <w:rFonts w:ascii="Arial" w:hAnsi="Arial" w:cs="Arial"/>
          <w:sz w:val="20"/>
          <w:szCs w:val="20"/>
        </w:rPr>
        <w:t xml:space="preserve">rei alltägliche nichtsteroidale Antiphlogistika </w:t>
      </w:r>
      <w:r w:rsidR="00DC2A16">
        <w:rPr>
          <w:rFonts w:ascii="Arial" w:hAnsi="Arial" w:cs="Arial"/>
          <w:sz w:val="20"/>
          <w:szCs w:val="20"/>
        </w:rPr>
        <w:t xml:space="preserve">sollen </w:t>
      </w:r>
      <w:r w:rsidR="00723BFE" w:rsidRPr="007C15BC">
        <w:rPr>
          <w:rFonts w:ascii="Arial" w:hAnsi="Arial" w:cs="Arial"/>
          <w:sz w:val="20"/>
          <w:szCs w:val="20"/>
        </w:rPr>
        <w:t>im Vordergrund</w:t>
      </w:r>
      <w:r w:rsidR="00DC2A16">
        <w:rPr>
          <w:rFonts w:ascii="Arial" w:hAnsi="Arial" w:cs="Arial"/>
          <w:sz w:val="20"/>
          <w:szCs w:val="20"/>
        </w:rPr>
        <w:t xml:space="preserve"> stehen</w:t>
      </w:r>
      <w:r w:rsidR="00723BFE" w:rsidRPr="007C15BC">
        <w:rPr>
          <w:rFonts w:ascii="Arial" w:hAnsi="Arial" w:cs="Arial"/>
          <w:sz w:val="20"/>
          <w:szCs w:val="20"/>
        </w:rPr>
        <w:t xml:space="preserve">: Ibuprofen, Paracetamol und </w:t>
      </w:r>
      <w:proofErr w:type="spellStart"/>
      <w:r w:rsidR="00723BFE" w:rsidRPr="007C15BC">
        <w:rPr>
          <w:rFonts w:ascii="Arial" w:hAnsi="Arial" w:cs="Arial"/>
          <w:sz w:val="20"/>
          <w:szCs w:val="20"/>
        </w:rPr>
        <w:t>D</w:t>
      </w:r>
      <w:r w:rsidRPr="007C15BC">
        <w:rPr>
          <w:rFonts w:ascii="Arial" w:hAnsi="Arial" w:cs="Arial"/>
          <w:sz w:val="20"/>
          <w:szCs w:val="20"/>
        </w:rPr>
        <w:t>i</w:t>
      </w:r>
      <w:r w:rsidR="00723BFE" w:rsidRPr="007C15BC">
        <w:rPr>
          <w:rFonts w:ascii="Arial" w:hAnsi="Arial" w:cs="Arial"/>
          <w:sz w:val="20"/>
          <w:szCs w:val="20"/>
        </w:rPr>
        <w:t>clofenac</w:t>
      </w:r>
      <w:proofErr w:type="spellEnd"/>
      <w:r w:rsidR="00723BFE" w:rsidRPr="007C15BC">
        <w:rPr>
          <w:rFonts w:ascii="Arial" w:hAnsi="Arial" w:cs="Arial"/>
          <w:sz w:val="20"/>
          <w:szCs w:val="20"/>
        </w:rPr>
        <w:t xml:space="preserve">. </w:t>
      </w:r>
      <w:r w:rsidR="00490B24" w:rsidRPr="007C15BC">
        <w:rPr>
          <w:rFonts w:ascii="Arial" w:hAnsi="Arial" w:cs="Arial"/>
          <w:sz w:val="20"/>
          <w:szCs w:val="20"/>
        </w:rPr>
        <w:t xml:space="preserve">Zunächst </w:t>
      </w:r>
      <w:r w:rsidR="00DC2A16">
        <w:rPr>
          <w:rFonts w:ascii="Arial" w:hAnsi="Arial" w:cs="Arial"/>
          <w:sz w:val="20"/>
          <w:szCs w:val="20"/>
        </w:rPr>
        <w:t xml:space="preserve">wird </w:t>
      </w:r>
      <w:r w:rsidR="00490B24" w:rsidRPr="007C15BC">
        <w:rPr>
          <w:rFonts w:ascii="Arial" w:hAnsi="Arial" w:cs="Arial"/>
          <w:sz w:val="20"/>
          <w:szCs w:val="20"/>
        </w:rPr>
        <w:t>eine Übersicht über die Anzahl der Stevens-Johnson Fälle und deren Informationsgehalt</w:t>
      </w:r>
      <w:r w:rsidR="007C15BC">
        <w:rPr>
          <w:rFonts w:ascii="Arial" w:hAnsi="Arial" w:cs="Arial"/>
          <w:sz w:val="20"/>
          <w:szCs w:val="20"/>
        </w:rPr>
        <w:t xml:space="preserve"> erstellt</w:t>
      </w:r>
      <w:r w:rsidR="00490B24" w:rsidRPr="007C15BC">
        <w:rPr>
          <w:rFonts w:ascii="Arial" w:hAnsi="Arial" w:cs="Arial"/>
          <w:sz w:val="20"/>
          <w:szCs w:val="20"/>
        </w:rPr>
        <w:t xml:space="preserve">. </w:t>
      </w:r>
      <w:r w:rsidR="00A95B28" w:rsidRPr="007C15BC">
        <w:rPr>
          <w:rFonts w:ascii="Arial" w:hAnsi="Arial" w:cs="Arial"/>
          <w:sz w:val="20"/>
          <w:szCs w:val="20"/>
        </w:rPr>
        <w:t>Die Daten</w:t>
      </w:r>
      <w:r w:rsidR="00490B24" w:rsidRPr="007C15BC">
        <w:rPr>
          <w:rFonts w:ascii="Arial" w:hAnsi="Arial" w:cs="Arial"/>
          <w:sz w:val="20"/>
          <w:szCs w:val="20"/>
        </w:rPr>
        <w:t xml:space="preserve"> aus diesen Fallberichten</w:t>
      </w:r>
      <w:r w:rsidR="00A95B28" w:rsidRPr="007C15BC">
        <w:rPr>
          <w:rFonts w:ascii="Arial" w:hAnsi="Arial" w:cs="Arial"/>
          <w:sz w:val="20"/>
          <w:szCs w:val="20"/>
        </w:rPr>
        <w:t xml:space="preserve"> werden zur Vorbereitung einer statistischen Auswertung in ein Excel-Format übertragen. </w:t>
      </w:r>
      <w:r w:rsidR="00490B24" w:rsidRPr="007C15BC">
        <w:rPr>
          <w:rFonts w:ascii="Arial" w:hAnsi="Arial" w:cs="Arial"/>
          <w:sz w:val="20"/>
          <w:szCs w:val="20"/>
        </w:rPr>
        <w:t xml:space="preserve">Berücksichtigt werden die Symptome, Allgemeinanamnese, Vorerkrankungen, Begleitmedikation, Laborparameter, Biopsien und histologische Untersuchungen der Patienten. </w:t>
      </w:r>
      <w:r w:rsidR="00A95B28" w:rsidRPr="007C15BC">
        <w:rPr>
          <w:rFonts w:ascii="Arial" w:hAnsi="Arial" w:cs="Arial"/>
          <w:sz w:val="20"/>
          <w:szCs w:val="20"/>
        </w:rPr>
        <w:t xml:space="preserve">Als Kontrollgruppe dienen Spontanmeldungen zu Hautreaktionen und Leberreaktionen </w:t>
      </w:r>
      <w:r w:rsidR="00E0384A">
        <w:rPr>
          <w:rFonts w:ascii="Arial" w:hAnsi="Arial" w:cs="Arial"/>
          <w:sz w:val="20"/>
          <w:szCs w:val="20"/>
        </w:rPr>
        <w:t xml:space="preserve">auf </w:t>
      </w:r>
      <w:r w:rsidR="00A95B28" w:rsidRPr="007C15BC">
        <w:rPr>
          <w:rFonts w:ascii="Arial" w:hAnsi="Arial" w:cs="Arial"/>
          <w:sz w:val="20"/>
          <w:szCs w:val="20"/>
        </w:rPr>
        <w:t>d</w:t>
      </w:r>
      <w:r w:rsidR="00E0384A">
        <w:rPr>
          <w:rFonts w:ascii="Arial" w:hAnsi="Arial" w:cs="Arial"/>
          <w:sz w:val="20"/>
          <w:szCs w:val="20"/>
        </w:rPr>
        <w:t>ie</w:t>
      </w:r>
      <w:r w:rsidR="00A95B28" w:rsidRPr="007C15BC">
        <w:rPr>
          <w:rFonts w:ascii="Arial" w:hAnsi="Arial" w:cs="Arial"/>
          <w:sz w:val="20"/>
          <w:szCs w:val="20"/>
        </w:rPr>
        <w:t>selben drei Antiphlogistika. Mithilfe dieser Datenbank erfolgt die Erkennung gemeinsamer Muster innerhalb der drei Stevens-Johnson-Gruppen</w:t>
      </w:r>
      <w:r w:rsidR="00DC2A16">
        <w:rPr>
          <w:rFonts w:ascii="Arial" w:hAnsi="Arial" w:cs="Arial"/>
          <w:sz w:val="20"/>
          <w:szCs w:val="20"/>
        </w:rPr>
        <w:t>,</w:t>
      </w:r>
      <w:r w:rsidR="00A95B28" w:rsidRPr="007C15BC">
        <w:rPr>
          <w:rFonts w:ascii="Arial" w:hAnsi="Arial" w:cs="Arial"/>
          <w:sz w:val="20"/>
          <w:szCs w:val="20"/>
        </w:rPr>
        <w:t xml:space="preserve"> die dem jeweiligen Antiphlogistikum zugeordnet sind. </w:t>
      </w:r>
      <w:r w:rsidR="00696D71" w:rsidRPr="007C15BC">
        <w:rPr>
          <w:rFonts w:ascii="Arial" w:hAnsi="Arial" w:cs="Arial"/>
          <w:sz w:val="20"/>
          <w:szCs w:val="20"/>
        </w:rPr>
        <w:t xml:space="preserve">Das Ziel ist die Erkennung von statistisch signifikanten Gemeinsamkeiten innerhalb der aufgeführten Kategorien, welche </w:t>
      </w:r>
      <w:r w:rsidR="00E0384A">
        <w:rPr>
          <w:rFonts w:ascii="Arial" w:hAnsi="Arial" w:cs="Arial"/>
          <w:sz w:val="20"/>
          <w:szCs w:val="20"/>
        </w:rPr>
        <w:t xml:space="preserve">vor Allem </w:t>
      </w:r>
      <w:r w:rsidR="00696D71" w:rsidRPr="007C15BC">
        <w:rPr>
          <w:rFonts w:ascii="Arial" w:hAnsi="Arial" w:cs="Arial"/>
          <w:sz w:val="20"/>
          <w:szCs w:val="20"/>
        </w:rPr>
        <w:t xml:space="preserve">die Symptomatik des Stevens-Johnson-Syndroms </w:t>
      </w:r>
      <w:r w:rsidR="009E0CA8">
        <w:rPr>
          <w:rFonts w:ascii="Arial" w:hAnsi="Arial" w:cs="Arial"/>
          <w:sz w:val="20"/>
          <w:szCs w:val="20"/>
        </w:rPr>
        <w:t>betreffen</w:t>
      </w:r>
      <w:r w:rsidR="00696D71" w:rsidRPr="007C15BC">
        <w:rPr>
          <w:rFonts w:ascii="Arial" w:hAnsi="Arial" w:cs="Arial"/>
          <w:sz w:val="20"/>
          <w:szCs w:val="20"/>
        </w:rPr>
        <w:t xml:space="preserve">. </w:t>
      </w:r>
      <w:r w:rsidR="00CD787D" w:rsidRPr="007C15BC">
        <w:rPr>
          <w:rFonts w:ascii="Arial" w:hAnsi="Arial" w:cs="Arial"/>
          <w:sz w:val="20"/>
          <w:szCs w:val="20"/>
        </w:rPr>
        <w:t xml:space="preserve">Des Weiteren sollen die Stevens-Johnson-Fälle mit </w:t>
      </w:r>
      <w:r w:rsidR="003B5209" w:rsidRPr="007C15BC">
        <w:rPr>
          <w:rFonts w:ascii="Arial" w:hAnsi="Arial" w:cs="Arial"/>
          <w:sz w:val="20"/>
          <w:szCs w:val="20"/>
        </w:rPr>
        <w:t>der Kontrollgruppe verglichen werden, um so belastbare Unterscheidungsmerkmale auf Basis von klinischen Symptomen und Laborparametern herauszuarbeiten.</w:t>
      </w:r>
      <w:r w:rsidR="00845B33">
        <w:rPr>
          <w:rFonts w:ascii="Arial" w:hAnsi="Arial" w:cs="Arial"/>
          <w:sz w:val="20"/>
          <w:szCs w:val="20"/>
        </w:rPr>
        <w:t xml:space="preserve"> </w:t>
      </w:r>
      <w:r w:rsidR="000A083B" w:rsidRPr="007C15BC">
        <w:rPr>
          <w:rFonts w:ascii="Arial" w:hAnsi="Arial" w:cs="Arial"/>
          <w:sz w:val="20"/>
          <w:szCs w:val="20"/>
        </w:rPr>
        <w:t xml:space="preserve">Die statistische Auswertung wird unter Zuhilfenahme des </w:t>
      </w:r>
      <w:proofErr w:type="spellStart"/>
      <w:r w:rsidR="000A083B" w:rsidRPr="007C15BC">
        <w:rPr>
          <w:rFonts w:ascii="Arial" w:hAnsi="Arial" w:cs="Arial"/>
          <w:sz w:val="20"/>
          <w:szCs w:val="20"/>
        </w:rPr>
        <w:t>Rucam</w:t>
      </w:r>
      <w:proofErr w:type="spellEnd"/>
      <w:r w:rsidR="000A083B" w:rsidRPr="007C15BC">
        <w:rPr>
          <w:rFonts w:ascii="Arial" w:hAnsi="Arial" w:cs="Arial"/>
          <w:sz w:val="20"/>
          <w:szCs w:val="20"/>
        </w:rPr>
        <w:t xml:space="preserve">-Scores erfolgen, um die Wahrscheinlichkeit der Kausalität zwischen Medikamenteneinnahme und Erkrankung zu untersuchen. Aufgrund der bereits im Voraus bekannten Datenlage wird die </w:t>
      </w:r>
      <w:r w:rsidR="00E01E14" w:rsidRPr="007C15BC">
        <w:rPr>
          <w:rFonts w:ascii="Arial" w:hAnsi="Arial" w:cs="Arial"/>
          <w:sz w:val="20"/>
          <w:szCs w:val="20"/>
        </w:rPr>
        <w:t xml:space="preserve">Erhebung und </w:t>
      </w:r>
      <w:r w:rsidR="000A083B" w:rsidRPr="007C15BC">
        <w:rPr>
          <w:rFonts w:ascii="Arial" w:hAnsi="Arial" w:cs="Arial"/>
          <w:sz w:val="20"/>
          <w:szCs w:val="20"/>
        </w:rPr>
        <w:t xml:space="preserve">Auswertung </w:t>
      </w:r>
      <w:r w:rsidR="00FF3017" w:rsidRPr="007C15BC">
        <w:rPr>
          <w:rFonts w:ascii="Arial" w:hAnsi="Arial" w:cs="Arial"/>
          <w:sz w:val="20"/>
          <w:szCs w:val="20"/>
        </w:rPr>
        <w:t xml:space="preserve">der Daten </w:t>
      </w:r>
      <w:r w:rsidR="000A083B" w:rsidRPr="007C15BC">
        <w:rPr>
          <w:rFonts w:ascii="Arial" w:hAnsi="Arial" w:cs="Arial"/>
          <w:sz w:val="20"/>
          <w:szCs w:val="20"/>
        </w:rPr>
        <w:t>mit eine</w:t>
      </w:r>
      <w:r w:rsidR="00E71A1D">
        <w:rPr>
          <w:rFonts w:ascii="Arial" w:hAnsi="Arial" w:cs="Arial"/>
          <w:sz w:val="20"/>
          <w:szCs w:val="20"/>
        </w:rPr>
        <w:t>m</w:t>
      </w:r>
      <w:r w:rsidR="000A083B" w:rsidRPr="007C15BC">
        <w:rPr>
          <w:rFonts w:ascii="Arial" w:hAnsi="Arial" w:cs="Arial"/>
          <w:sz w:val="20"/>
          <w:szCs w:val="20"/>
        </w:rPr>
        <w:t xml:space="preserve"> </w:t>
      </w:r>
      <w:r w:rsidR="00816C92" w:rsidRPr="007C15BC">
        <w:rPr>
          <w:rFonts w:ascii="Arial" w:hAnsi="Arial" w:cs="Arial"/>
          <w:sz w:val="20"/>
          <w:szCs w:val="20"/>
        </w:rPr>
        <w:t>unvermeidbaren</w:t>
      </w:r>
      <w:r w:rsidR="000A083B" w:rsidRPr="007C15BC">
        <w:rPr>
          <w:rFonts w:ascii="Arial" w:hAnsi="Arial" w:cs="Arial"/>
          <w:sz w:val="20"/>
          <w:szCs w:val="20"/>
        </w:rPr>
        <w:t xml:space="preserve"> </w:t>
      </w:r>
      <w:r w:rsidR="00DC2A16">
        <w:rPr>
          <w:rFonts w:ascii="Arial" w:hAnsi="Arial" w:cs="Arial"/>
          <w:sz w:val="20"/>
          <w:szCs w:val="20"/>
        </w:rPr>
        <w:t>Bias</w:t>
      </w:r>
      <w:r w:rsidR="000A083B" w:rsidRPr="007C15BC">
        <w:rPr>
          <w:rFonts w:ascii="Arial" w:hAnsi="Arial" w:cs="Arial"/>
          <w:sz w:val="20"/>
          <w:szCs w:val="20"/>
        </w:rPr>
        <w:t xml:space="preserve"> erfolgen</w:t>
      </w:r>
      <w:r w:rsidR="00DC2A16">
        <w:rPr>
          <w:rFonts w:ascii="Arial" w:hAnsi="Arial" w:cs="Arial"/>
          <w:sz w:val="20"/>
          <w:szCs w:val="20"/>
        </w:rPr>
        <w:t>,</w:t>
      </w:r>
      <w:r w:rsidR="000A083B" w:rsidRPr="007C15BC">
        <w:rPr>
          <w:rFonts w:ascii="Arial" w:hAnsi="Arial" w:cs="Arial"/>
          <w:sz w:val="20"/>
          <w:szCs w:val="20"/>
        </w:rPr>
        <w:t xml:space="preserve"> </w:t>
      </w:r>
      <w:r w:rsidR="00DC2A16">
        <w:rPr>
          <w:rFonts w:ascii="Arial" w:hAnsi="Arial" w:cs="Arial"/>
          <w:sz w:val="20"/>
          <w:szCs w:val="20"/>
        </w:rPr>
        <w:t>a</w:t>
      </w:r>
      <w:r w:rsidR="000A083B" w:rsidRPr="007C15BC">
        <w:rPr>
          <w:rFonts w:ascii="Arial" w:hAnsi="Arial" w:cs="Arial"/>
          <w:sz w:val="20"/>
          <w:szCs w:val="20"/>
        </w:rPr>
        <w:t xml:space="preserve">uf </w:t>
      </w:r>
      <w:r w:rsidR="00DC2A16">
        <w:rPr>
          <w:rFonts w:ascii="Arial" w:hAnsi="Arial" w:cs="Arial"/>
          <w:sz w:val="20"/>
          <w:szCs w:val="20"/>
        </w:rPr>
        <w:t>den</w:t>
      </w:r>
      <w:r w:rsidR="000A083B" w:rsidRPr="007C15BC">
        <w:rPr>
          <w:rFonts w:ascii="Arial" w:hAnsi="Arial" w:cs="Arial"/>
          <w:sz w:val="20"/>
          <w:szCs w:val="20"/>
        </w:rPr>
        <w:t xml:space="preserve"> im Rahmen der Diskussion </w:t>
      </w:r>
      <w:r w:rsidR="00DC2A16">
        <w:rPr>
          <w:rFonts w:ascii="Arial" w:hAnsi="Arial" w:cs="Arial"/>
          <w:sz w:val="20"/>
          <w:szCs w:val="20"/>
        </w:rPr>
        <w:t>eingegangen wird</w:t>
      </w:r>
      <w:r w:rsidR="000A083B" w:rsidRPr="007C15BC">
        <w:rPr>
          <w:rFonts w:ascii="Arial" w:hAnsi="Arial" w:cs="Arial"/>
          <w:sz w:val="20"/>
          <w:szCs w:val="20"/>
        </w:rPr>
        <w:t xml:space="preserve">. </w:t>
      </w:r>
    </w:p>
    <w:sectPr w:rsidR="003B5209" w:rsidRPr="007C15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F36"/>
    <w:rsid w:val="000A083B"/>
    <w:rsid w:val="00195E12"/>
    <w:rsid w:val="001A3B6C"/>
    <w:rsid w:val="00271185"/>
    <w:rsid w:val="00370B3C"/>
    <w:rsid w:val="003B5209"/>
    <w:rsid w:val="0041404D"/>
    <w:rsid w:val="0045551D"/>
    <w:rsid w:val="00490B24"/>
    <w:rsid w:val="00696D71"/>
    <w:rsid w:val="00723BFE"/>
    <w:rsid w:val="007C15BC"/>
    <w:rsid w:val="00816C92"/>
    <w:rsid w:val="008350D8"/>
    <w:rsid w:val="00845B33"/>
    <w:rsid w:val="00863289"/>
    <w:rsid w:val="00952132"/>
    <w:rsid w:val="009E0CA8"/>
    <w:rsid w:val="009F2F36"/>
    <w:rsid w:val="00A114FA"/>
    <w:rsid w:val="00A95B28"/>
    <w:rsid w:val="00AA4949"/>
    <w:rsid w:val="00B05E5B"/>
    <w:rsid w:val="00C43643"/>
    <w:rsid w:val="00CD787D"/>
    <w:rsid w:val="00DC2A16"/>
    <w:rsid w:val="00E01E14"/>
    <w:rsid w:val="00E0384A"/>
    <w:rsid w:val="00E71A1D"/>
    <w:rsid w:val="00FC2173"/>
    <w:rsid w:val="00FF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4035F"/>
  <w15:chartTrackingRefBased/>
  <w15:docId w15:val="{D09CD4E6-A52A-475E-BB15-BCB7CCAAC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lw-r</cp:lastModifiedBy>
  <cp:revision>14</cp:revision>
  <dcterms:created xsi:type="dcterms:W3CDTF">2022-08-09T08:00:00Z</dcterms:created>
  <dcterms:modified xsi:type="dcterms:W3CDTF">2022-08-09T21:49:00Z</dcterms:modified>
</cp:coreProperties>
</file>