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F2E36" w14:textId="7756EACB" w:rsidR="002A4D04" w:rsidRPr="00923871" w:rsidRDefault="004B29F0">
      <w:pPr>
        <w:rPr>
          <w:b/>
          <w:bCs/>
          <w:sz w:val="24"/>
          <w:szCs w:val="24"/>
          <w:u w:val="single"/>
        </w:rPr>
      </w:pPr>
      <w:r w:rsidRPr="00923871">
        <w:rPr>
          <w:b/>
          <w:bCs/>
          <w:sz w:val="24"/>
          <w:szCs w:val="24"/>
          <w:u w:val="single"/>
        </w:rPr>
        <w:t>Wirkung von Paracetamol auf Keratinozyten</w:t>
      </w:r>
    </w:p>
    <w:p w14:paraId="5C7A5991" w14:textId="48054C05" w:rsidR="004B29F0" w:rsidRDefault="004B29F0" w:rsidP="004B29F0">
      <w:pPr>
        <w:pStyle w:val="Listenabsatz"/>
        <w:numPr>
          <w:ilvl w:val="0"/>
          <w:numId w:val="1"/>
        </w:numPr>
      </w:pPr>
      <w:r>
        <w:t>In vitro Studie über die Wirkung von niedrigkonzentriertem Paracetamol (0,3-1 mmol/L) auf die genspezifische DNA-Reparation, Erholung der RNA-Synthese und Zytotoxizität nach UV-Licht-Exposition</w:t>
      </w:r>
      <w:r w:rsidR="0075025E">
        <w:t xml:space="preserve"> [83]</w:t>
      </w:r>
    </w:p>
    <w:p w14:paraId="0C264653" w14:textId="55794EEA" w:rsidR="004B29F0" w:rsidRDefault="004B29F0" w:rsidP="004B29F0">
      <w:pPr>
        <w:pStyle w:val="Listenabsatz"/>
        <w:numPr>
          <w:ilvl w:val="1"/>
          <w:numId w:val="1"/>
        </w:numPr>
      </w:pPr>
      <w:r>
        <w:t xml:space="preserve">Reparaturleistung der der Uracil-DNA-Glykosylase und c-MYC (=Proonkogen und Regulator des Zellwachstums) </w:t>
      </w:r>
      <w:r w:rsidR="00E35158">
        <w:t xml:space="preserve">von Cyclobutan-Pyrimidin-Dimeren </w:t>
      </w:r>
      <w:r>
        <w:t>war geringer bei Paracetamol-Exposition</w:t>
      </w:r>
    </w:p>
    <w:p w14:paraId="65F61EC6" w14:textId="17F67842" w:rsidR="004B29F0" w:rsidRDefault="00781E25" w:rsidP="00781E25">
      <w:pPr>
        <w:pStyle w:val="Listenabsatz"/>
        <w:numPr>
          <w:ilvl w:val="2"/>
          <w:numId w:val="1"/>
        </w:numPr>
      </w:pPr>
      <w:r>
        <w:t>Signifikanter Effekt erst 8 Stunden nach Bestrahlung</w:t>
      </w:r>
    </w:p>
    <w:p w14:paraId="657045A1" w14:textId="3F43F111" w:rsidR="00781E25" w:rsidRDefault="00781E25" w:rsidP="00781E25">
      <w:pPr>
        <w:pStyle w:val="Listenabsatz"/>
        <w:numPr>
          <w:ilvl w:val="1"/>
          <w:numId w:val="1"/>
        </w:numPr>
      </w:pPr>
      <w:r>
        <w:t xml:space="preserve">Kein </w:t>
      </w:r>
      <w:r w:rsidR="00A66FBC">
        <w:t>s</w:t>
      </w:r>
      <w:r>
        <w:t>ignifikanter Effekt auf c-MYC</w:t>
      </w:r>
    </w:p>
    <w:p w14:paraId="782F7295" w14:textId="29D55A06" w:rsidR="00781E25" w:rsidRDefault="00781E25" w:rsidP="00781E25">
      <w:pPr>
        <w:pStyle w:val="Listenabsatz"/>
        <w:numPr>
          <w:ilvl w:val="1"/>
          <w:numId w:val="1"/>
        </w:numPr>
      </w:pPr>
      <w:r>
        <w:t>Dosisabhängige Verzögerung der Erholung der RNA-Synthese durch Paracetamol</w:t>
      </w:r>
    </w:p>
    <w:p w14:paraId="78EB6B0C" w14:textId="5BA464C3" w:rsidR="00E35158" w:rsidRDefault="00E35158" w:rsidP="00781E25">
      <w:pPr>
        <w:pStyle w:val="Listenabsatz"/>
        <w:numPr>
          <w:ilvl w:val="1"/>
          <w:numId w:val="1"/>
        </w:numPr>
      </w:pPr>
      <w:r>
        <w:t>Kein signifikanter Effekt mehr 24h nach Beendigung der UV-Exposition</w:t>
      </w:r>
    </w:p>
    <w:p w14:paraId="4CBA6A80" w14:textId="0E422B78" w:rsidR="00E35158" w:rsidRDefault="00E35158" w:rsidP="00781E25">
      <w:pPr>
        <w:pStyle w:val="Listenabsatz"/>
        <w:numPr>
          <w:ilvl w:val="1"/>
          <w:numId w:val="1"/>
        </w:numPr>
      </w:pPr>
      <w:r>
        <w:t xml:space="preserve">Reduzierte Zell-Überlebensrate von </w:t>
      </w:r>
      <w:r w:rsidRPr="00E35158">
        <w:t>10% (</w:t>
      </w:r>
      <w:r>
        <w:t>bei</w:t>
      </w:r>
      <w:r w:rsidRPr="00E35158">
        <w:t xml:space="preserve"> 0.3 mM) </w:t>
      </w:r>
      <w:r>
        <w:t>u</w:t>
      </w:r>
      <w:r w:rsidRPr="00E35158">
        <w:t>nd 50%, (</w:t>
      </w:r>
      <w:r>
        <w:t>bei</w:t>
      </w:r>
      <w:r w:rsidRPr="00E35158">
        <w:t xml:space="preserve"> 1.0 mM) </w:t>
      </w:r>
      <w:r>
        <w:t>nach</w:t>
      </w:r>
      <w:r w:rsidRPr="00E35158">
        <w:t xml:space="preserve"> 96 h </w:t>
      </w:r>
      <w:r>
        <w:t>UV-Exposition</w:t>
      </w:r>
    </w:p>
    <w:p w14:paraId="1B8A514B" w14:textId="24C7A0C8" w:rsidR="0075025E" w:rsidRDefault="0075025E" w:rsidP="00923871"/>
    <w:p w14:paraId="196FEB28" w14:textId="25BDFEBF" w:rsidR="00923871" w:rsidRPr="00923871" w:rsidRDefault="00923871" w:rsidP="00923871">
      <w:pPr>
        <w:rPr>
          <w:b/>
          <w:bCs/>
          <w:sz w:val="24"/>
          <w:szCs w:val="24"/>
          <w:u w:val="single"/>
        </w:rPr>
      </w:pPr>
      <w:r w:rsidRPr="00923871">
        <w:rPr>
          <w:b/>
          <w:bCs/>
          <w:sz w:val="24"/>
          <w:szCs w:val="24"/>
          <w:u w:val="single"/>
        </w:rPr>
        <w:t>Warum werden Keratinozyten von Immunzellen angegriffen?</w:t>
      </w:r>
    </w:p>
    <w:p w14:paraId="04E2A5C1" w14:textId="7350B982" w:rsidR="00923871" w:rsidRDefault="00923871" w:rsidP="00923871">
      <w:pPr>
        <w:pStyle w:val="Listenabsatz"/>
        <w:numPr>
          <w:ilvl w:val="0"/>
          <w:numId w:val="1"/>
        </w:numPr>
      </w:pPr>
    </w:p>
    <w:p w14:paraId="6BCBE096" w14:textId="77777777" w:rsidR="00923871" w:rsidRDefault="00923871" w:rsidP="00923871"/>
    <w:p w14:paraId="27C223BA" w14:textId="5DE1512A" w:rsidR="00923871" w:rsidRDefault="00923871" w:rsidP="00923871"/>
    <w:p w14:paraId="27F393BF" w14:textId="4677D7E9" w:rsidR="00923871" w:rsidRDefault="00923871" w:rsidP="00923871"/>
    <w:p w14:paraId="7EA2D118" w14:textId="473C828D" w:rsidR="00923871" w:rsidRDefault="00923871" w:rsidP="00923871"/>
    <w:p w14:paraId="7769265F" w14:textId="17F211D6" w:rsidR="00923871" w:rsidRDefault="00923871" w:rsidP="00923871"/>
    <w:p w14:paraId="3CA2F404" w14:textId="52781CE9" w:rsidR="00923871" w:rsidRDefault="00923871" w:rsidP="00923871"/>
    <w:p w14:paraId="64FA0037" w14:textId="77777777" w:rsidR="00923871" w:rsidRDefault="00923871" w:rsidP="00923871"/>
    <w:p w14:paraId="5DC78E42" w14:textId="77B5B820" w:rsidR="00923871" w:rsidRPr="00923871" w:rsidRDefault="00923871" w:rsidP="00923871">
      <w:pPr>
        <w:rPr>
          <w:b/>
          <w:bCs/>
          <w:sz w:val="24"/>
          <w:szCs w:val="24"/>
          <w:u w:val="single"/>
        </w:rPr>
      </w:pPr>
      <w:r w:rsidRPr="00923871">
        <w:rPr>
          <w:b/>
          <w:bCs/>
          <w:sz w:val="24"/>
          <w:szCs w:val="24"/>
          <w:u w:val="single"/>
        </w:rPr>
        <w:t>PAMP</w:t>
      </w:r>
      <w:r>
        <w:rPr>
          <w:b/>
          <w:bCs/>
          <w:sz w:val="24"/>
          <w:szCs w:val="24"/>
          <w:u w:val="single"/>
        </w:rPr>
        <w:t xml:space="preserve"> Doccheck</w:t>
      </w:r>
    </w:p>
    <w:p w14:paraId="39C4ED50" w14:textId="77777777" w:rsidR="00923871" w:rsidRDefault="00923871" w:rsidP="00923871">
      <w:pPr>
        <w:spacing w:after="0"/>
      </w:pPr>
      <w:r>
        <w:t>Synonyme: Pathogen-assoziierte molekulare Muster, MAMPs</w:t>
      </w:r>
    </w:p>
    <w:p w14:paraId="52D0F944" w14:textId="77777777" w:rsidR="00923871" w:rsidRDefault="00923871" w:rsidP="00923871">
      <w:pPr>
        <w:spacing w:after="0"/>
      </w:pPr>
      <w:r>
        <w:t>Englisch: Pathogen-associated molecular patterns</w:t>
      </w:r>
    </w:p>
    <w:p w14:paraId="35F7926D" w14:textId="77777777" w:rsidR="00923871" w:rsidRDefault="00923871" w:rsidP="00923871">
      <w:pPr>
        <w:spacing w:after="0"/>
      </w:pPr>
      <w:r>
        <w:t>1 Definition</w:t>
      </w:r>
    </w:p>
    <w:p w14:paraId="75B92893" w14:textId="77777777" w:rsidR="00923871" w:rsidRDefault="00923871" w:rsidP="00923871">
      <w:pPr>
        <w:spacing w:after="0"/>
      </w:pPr>
    </w:p>
    <w:p w14:paraId="5B568C75" w14:textId="77777777" w:rsidR="00923871" w:rsidRDefault="00923871" w:rsidP="00923871">
      <w:pPr>
        <w:spacing w:after="0"/>
      </w:pPr>
      <w:r>
        <w:t>Unter Pathogen-assoziierten molekularen Mustern, kurz PAMPs, versteht man spezifische Strukturmotive, die ein Erkennen von Erregern wie Viren und Bakterien im Rahmen der Immunantwort ermöglichen.</w:t>
      </w:r>
    </w:p>
    <w:p w14:paraId="2257447D" w14:textId="77777777" w:rsidR="00923871" w:rsidRDefault="00923871" w:rsidP="00923871">
      <w:pPr>
        <w:spacing w:after="0"/>
      </w:pPr>
      <w:r>
        <w:t>2 Biochemie</w:t>
      </w:r>
    </w:p>
    <w:p w14:paraId="08EB3D0A" w14:textId="77777777" w:rsidR="00923871" w:rsidRDefault="00923871" w:rsidP="00923871">
      <w:pPr>
        <w:spacing w:after="0"/>
      </w:pPr>
    </w:p>
    <w:p w14:paraId="43916301" w14:textId="77777777" w:rsidR="00923871" w:rsidRDefault="00923871" w:rsidP="00923871">
      <w:pPr>
        <w:spacing w:after="0"/>
      </w:pPr>
      <w:r>
        <w:t>Die PAMPs sind allgemein hoch konservierte und für Pathogene spezifische Moleküle, die im Menschen nicht vorkommen. Bei Pilzen handelt es sich dabei typischerweise um Komponenten der Zellwand (z.B. Chitin). Bei Bakterien sind Lipopolysaccharide, Flagellin, Peptidoglycan häufige PAMPs und bei viralen Pathogenen wird meistens das Erbgut in Form von doppel- oder einzelstränger RNA und DNA erkannt.</w:t>
      </w:r>
    </w:p>
    <w:p w14:paraId="3B8FE3F2" w14:textId="77777777" w:rsidR="00923871" w:rsidRDefault="00923871" w:rsidP="00923871">
      <w:pPr>
        <w:spacing w:after="0"/>
      </w:pPr>
    </w:p>
    <w:p w14:paraId="5D1ACF17" w14:textId="23FA6A16" w:rsidR="00923871" w:rsidRDefault="00923871" w:rsidP="00923871">
      <w:pPr>
        <w:spacing w:after="0"/>
      </w:pPr>
      <w:r>
        <w:t>Erkannt werden die PAMPs von den Pattern-Recognition-Rezeptoren (PRRs), die als Teil der angeborenen Immunantwort bereits beim ersten Kontakt eine Immunreaktion erzeugen.</w:t>
      </w:r>
    </w:p>
    <w:p w14:paraId="58C4A2E2" w14:textId="0AA9B097" w:rsidR="00923871" w:rsidRDefault="00923871" w:rsidP="00923871"/>
    <w:p w14:paraId="2AE84754" w14:textId="174A4E7B" w:rsidR="00923871" w:rsidRPr="00923871" w:rsidRDefault="00923871" w:rsidP="00923871">
      <w:pPr>
        <w:rPr>
          <w:b/>
          <w:bCs/>
          <w:sz w:val="24"/>
          <w:szCs w:val="24"/>
          <w:u w:val="single"/>
        </w:rPr>
      </w:pPr>
      <w:r w:rsidRPr="00923871">
        <w:rPr>
          <w:b/>
          <w:bCs/>
          <w:sz w:val="24"/>
          <w:szCs w:val="24"/>
          <w:u w:val="single"/>
        </w:rPr>
        <w:t>DAMP</w:t>
      </w:r>
      <w:r>
        <w:rPr>
          <w:b/>
          <w:bCs/>
          <w:sz w:val="24"/>
          <w:szCs w:val="24"/>
          <w:u w:val="single"/>
        </w:rPr>
        <w:t xml:space="preserve"> Doccheck</w:t>
      </w:r>
    </w:p>
    <w:p w14:paraId="52B9F53B" w14:textId="77777777" w:rsidR="00923871" w:rsidRDefault="00923871" w:rsidP="00923871">
      <w:pPr>
        <w:spacing w:after="0"/>
      </w:pPr>
      <w:r>
        <w:t>Synonyme: Schaden-assoziiertes molekulares Muster</w:t>
      </w:r>
    </w:p>
    <w:p w14:paraId="4301C874" w14:textId="77777777" w:rsidR="00923871" w:rsidRDefault="00923871" w:rsidP="00923871">
      <w:pPr>
        <w:spacing w:after="0"/>
      </w:pPr>
      <w:r>
        <w:t>Englisch: damage-associated molecular pattern, DAMP</w:t>
      </w:r>
    </w:p>
    <w:p w14:paraId="3673D2D2" w14:textId="77777777" w:rsidR="00923871" w:rsidRDefault="00923871" w:rsidP="00923871">
      <w:pPr>
        <w:spacing w:after="0"/>
      </w:pPr>
      <w:r>
        <w:t>1 Definition</w:t>
      </w:r>
    </w:p>
    <w:p w14:paraId="146BA379" w14:textId="77777777" w:rsidR="00923871" w:rsidRDefault="00923871" w:rsidP="00923871">
      <w:pPr>
        <w:spacing w:after="0"/>
      </w:pPr>
    </w:p>
    <w:p w14:paraId="006B22FE" w14:textId="77777777" w:rsidR="00923871" w:rsidRDefault="00923871" w:rsidP="00923871">
      <w:pPr>
        <w:spacing w:after="0"/>
      </w:pPr>
      <w:r>
        <w:t>Alarmine bzw. DAMPs sind endogene Moleküle, die nach einer Gewebeverletzung als Gefahrensignal fungieren und eine Entzündungsreaktion auslösen und aufrechterhalten können.</w:t>
      </w:r>
    </w:p>
    <w:p w14:paraId="292A0912" w14:textId="77777777" w:rsidR="00923871" w:rsidRDefault="00923871" w:rsidP="00923871">
      <w:pPr>
        <w:spacing w:after="0"/>
      </w:pPr>
    </w:p>
    <w:p w14:paraId="4CAAC41E" w14:textId="77777777" w:rsidR="00923871" w:rsidRDefault="00923871" w:rsidP="00923871">
      <w:pPr>
        <w:spacing w:after="0"/>
      </w:pPr>
      <w:r>
        <w:t>Von den DAMPs abgegrenzt werden die durch Erreger ausgelösten Pathogen-assoziierten molekularen Muster, kurz PAMPs.</w:t>
      </w:r>
    </w:p>
    <w:p w14:paraId="4E328A4D" w14:textId="77777777" w:rsidR="00923871" w:rsidRDefault="00923871" w:rsidP="00923871">
      <w:pPr>
        <w:spacing w:after="0"/>
      </w:pPr>
      <w:r>
        <w:t>2 Hintergrund</w:t>
      </w:r>
    </w:p>
    <w:p w14:paraId="03F09494" w14:textId="77777777" w:rsidR="00923871" w:rsidRDefault="00923871" w:rsidP="00923871">
      <w:pPr>
        <w:spacing w:after="0"/>
      </w:pPr>
    </w:p>
    <w:p w14:paraId="6010803D" w14:textId="04B0C87B" w:rsidR="00923871" w:rsidRDefault="00923871" w:rsidP="00923871">
      <w:pPr>
        <w:spacing w:after="0"/>
      </w:pPr>
      <w:r>
        <w:t>Alarmine sind in der Regel intrazelluläre Proteine, die bei einer Zellnekrose passiv in den Extrazellularraum gelangen. Desweiteren können sie auch aktiv durch Immunzellen freigesetzt werden. Sie führen nicht nur zu einer Inflammation, sondern fördern unter anderem auch die Reparatur des geschädigten Gewebes.</w:t>
      </w:r>
    </w:p>
    <w:p w14:paraId="0D07D2DB" w14:textId="0030C992" w:rsidR="00AE71B9" w:rsidRDefault="00AE71B9" w:rsidP="00923871">
      <w:pPr>
        <w:spacing w:after="0"/>
      </w:pPr>
    </w:p>
    <w:p w14:paraId="6AB18761" w14:textId="37A38DED" w:rsidR="00AE71B9" w:rsidRDefault="00AE71B9" w:rsidP="00923871">
      <w:pPr>
        <w:spacing w:after="0"/>
      </w:pPr>
    </w:p>
    <w:p w14:paraId="18887E5D" w14:textId="47647147" w:rsidR="00AE71B9" w:rsidRDefault="00AE71B9" w:rsidP="00923871">
      <w:pPr>
        <w:spacing w:after="0"/>
      </w:pPr>
    </w:p>
    <w:p w14:paraId="735A932C" w14:textId="209B3A55" w:rsidR="00AE71B9" w:rsidRDefault="00AE71B9" w:rsidP="00923871">
      <w:pPr>
        <w:spacing w:after="0"/>
        <w:rPr>
          <w:b/>
          <w:bCs/>
          <w:sz w:val="24"/>
          <w:szCs w:val="24"/>
          <w:u w:val="single"/>
        </w:rPr>
      </w:pPr>
      <w:r w:rsidRPr="00AE71B9">
        <w:rPr>
          <w:b/>
          <w:bCs/>
          <w:sz w:val="24"/>
          <w:szCs w:val="24"/>
          <w:u w:val="single"/>
        </w:rPr>
        <w:t>HLA Doccheck</w:t>
      </w:r>
    </w:p>
    <w:p w14:paraId="7E198D97" w14:textId="5E3BDDCA" w:rsidR="00AE71B9" w:rsidRDefault="00AE71B9" w:rsidP="00923871">
      <w:pPr>
        <w:spacing w:after="0"/>
      </w:pPr>
    </w:p>
    <w:p w14:paraId="72A6BCE4" w14:textId="77777777" w:rsidR="00AE71B9" w:rsidRDefault="00AE71B9" w:rsidP="00AE71B9">
      <w:pPr>
        <w:spacing w:after="0"/>
      </w:pPr>
      <w:r>
        <w:t>1 Definition</w:t>
      </w:r>
    </w:p>
    <w:p w14:paraId="01A96B45" w14:textId="77777777" w:rsidR="00AE71B9" w:rsidRDefault="00AE71B9" w:rsidP="00AE71B9">
      <w:pPr>
        <w:spacing w:after="0"/>
      </w:pPr>
    </w:p>
    <w:p w14:paraId="5B84F408" w14:textId="77777777" w:rsidR="00AE71B9" w:rsidRDefault="00AE71B9" w:rsidP="00AE71B9">
      <w:pPr>
        <w:spacing w:after="0"/>
      </w:pPr>
      <w:r>
        <w:t>HL-Antigene sind in der Zellmembran verankerte Glykoproteine, die zu den Immunglobulinen gezählt werden. Sie bilden die individuelle "Signatur" der Zellen und spielen eine Schlüsselrolle bei der Unterscheidung zwischen körpereigenen und körperfremden Strukturen durch das Immunsystem.</w:t>
      </w:r>
    </w:p>
    <w:p w14:paraId="1692B911" w14:textId="77777777" w:rsidR="00AE71B9" w:rsidRDefault="00AE71B9" w:rsidP="00AE71B9">
      <w:pPr>
        <w:spacing w:after="0"/>
      </w:pPr>
      <w:r>
        <w:t>2 Genetik</w:t>
      </w:r>
    </w:p>
    <w:p w14:paraId="15D27E2C" w14:textId="77777777" w:rsidR="00AE71B9" w:rsidRDefault="00AE71B9" w:rsidP="00AE71B9">
      <w:pPr>
        <w:spacing w:after="0"/>
      </w:pPr>
    </w:p>
    <w:p w14:paraId="473F0BEA" w14:textId="77777777" w:rsidR="00AE71B9" w:rsidRDefault="00AE71B9" w:rsidP="00AE71B9">
      <w:pPr>
        <w:spacing w:after="0"/>
      </w:pPr>
      <w:r>
        <w:t>Die Gene für alle HLA-Proteine mit Ausnahme des β-Mikroglobulins (Chromosom 15) befinden sich in der Nähe des Centromers auf dem Chromosom 6 und lassen sich topographisch in drei Klassen einteilen. Diese Gene werden als Haupthistokompatibilitätskomplex (Major Histocompatibility Complex, MHC) bezeichnet. Sie sind durch eine besonders hohe Variabilität gekennzeichnet.</w:t>
      </w:r>
    </w:p>
    <w:p w14:paraId="39B88957" w14:textId="3A19C8BB" w:rsidR="00AE71B9" w:rsidRDefault="00AE71B9" w:rsidP="00AE71B9">
      <w:pPr>
        <w:spacing w:after="0"/>
      </w:pPr>
      <w:r>
        <w:t>3 Einteilung</w:t>
      </w:r>
    </w:p>
    <w:p w14:paraId="0A367040" w14:textId="657CF135" w:rsidR="00AE71B9" w:rsidRDefault="00AE71B9" w:rsidP="00AE71B9">
      <w:pPr>
        <w:spacing w:after="0"/>
      </w:pPr>
    </w:p>
    <w:p w14:paraId="053E73AC" w14:textId="4C5A9FA8" w:rsidR="00AE71B9" w:rsidRDefault="00AE71B9" w:rsidP="00AE71B9">
      <w:pPr>
        <w:spacing w:after="0"/>
      </w:pPr>
      <w:r w:rsidRPr="00AE71B9">
        <w:t>HLA-Klasse-I-Merkmal</w:t>
      </w:r>
    </w:p>
    <w:p w14:paraId="6170FA8E" w14:textId="733E5CA2" w:rsidR="00AE71B9" w:rsidRDefault="00AE71B9" w:rsidP="00AE71B9">
      <w:pPr>
        <w:spacing w:after="0"/>
      </w:pPr>
      <w:r>
        <w:t>Die extrazellulären Teile des Moleküls (α1 und α2) bilden 2 Arme (Helices) aus, die am Boden durch sogenannte Beta-Ketten verbunden sind und eine Grube bilden, mit der Peptide gebunden werden können. Die Grube ist räumlich klein und kann Peptide mit bis zu 10 Aminosäuren binden. Diese Peptide sind üblicherweise Fragmente, die beim Abbau von zelleigenen Proteinen im Proteasom gebildet und an der Zelloberfläche immunkompetenten Zellen (beispielsweise CD8+-T-Lymphozyten) präsentiert werden. Auf diese Weise lassen sich körpereigene von fremden Zellen unterscheiden. HLA-Klasse-I-Moleküle finden sich auf allen kernhaltigen Körperzellen. Zu ihnen gehören die Isotypen HLA-A, HLA-B und HLA-C.</w:t>
      </w:r>
    </w:p>
    <w:p w14:paraId="3A74B527" w14:textId="2A566E37" w:rsidR="00AE71B9" w:rsidRDefault="00AE71B9" w:rsidP="00AE71B9">
      <w:pPr>
        <w:spacing w:after="0"/>
      </w:pPr>
    </w:p>
    <w:p w14:paraId="4BABDA48" w14:textId="4648F659" w:rsidR="00AE71B9" w:rsidRPr="00AE71B9" w:rsidRDefault="00AE71B9" w:rsidP="00AE71B9">
      <w:pPr>
        <w:spacing w:after="0"/>
      </w:pPr>
      <w:r>
        <w:t>3.2 HLA-Klasse-II-Merkmal</w:t>
      </w:r>
    </w:p>
    <w:p w14:paraId="4303E1D2" w14:textId="77777777" w:rsidR="00371FA4" w:rsidRDefault="00371FA4" w:rsidP="00371FA4">
      <w:pPr>
        <w:spacing w:after="0"/>
      </w:pPr>
      <w:r>
        <w:t xml:space="preserve">Auch dieser Komplex bildet eine Grube, die von der α1 und β1 Domäne geformt wird. Auf der Außenseite der Beta-2-Kette bindet das Co-Rezeptor-Protein CD4. Die Grube ist etwas größer als die </w:t>
      </w:r>
      <w:r>
        <w:lastRenderedPageBreak/>
        <w:t>der HLA-Klasse-I-Moleküle. Der Rezeptor kann Antigene von einer Größe aufnehmen, die bis zu 20 Aminosäuren umfassen. Zu den HLA-Antigenen der Klasse II gehören die Isotypen HLA-DP, -DQ, -DR sowie DN und DO.</w:t>
      </w:r>
    </w:p>
    <w:p w14:paraId="06FB143A" w14:textId="77777777" w:rsidR="00371FA4" w:rsidRDefault="00371FA4" w:rsidP="00371FA4">
      <w:pPr>
        <w:spacing w:after="0"/>
      </w:pPr>
    </w:p>
    <w:p w14:paraId="6943ADDD" w14:textId="77777777" w:rsidR="00371FA4" w:rsidRDefault="00371FA4" w:rsidP="00371FA4">
      <w:pPr>
        <w:spacing w:after="0"/>
      </w:pPr>
      <w:r>
        <w:t>HLA-Klasse-II-Moleküle (MHC-II-Rezeptoren) finden sich nur auf antigenpräsentierenden Zellen, wie B-Zellen, phagozytierenden Zellen (z.B. Makrophagen) und dendritischen Zellen der Haut (Langerhans-Zellen).</w:t>
      </w:r>
    </w:p>
    <w:p w14:paraId="6471EB59" w14:textId="77777777" w:rsidR="00371FA4" w:rsidRDefault="00371FA4" w:rsidP="00371FA4">
      <w:pPr>
        <w:spacing w:after="0"/>
      </w:pPr>
    </w:p>
    <w:p w14:paraId="534020EC" w14:textId="304A6879" w:rsidR="00AE71B9" w:rsidRDefault="00371FA4" w:rsidP="00371FA4">
      <w:pPr>
        <w:spacing w:after="0"/>
      </w:pPr>
      <w:r>
        <w:t>Die im Rahmen der Phagozytose aufgenommenen Proteine und Peptide werden lysosomal abgebaut, am glatten endoplasmatischen Retikulum mit dem MHC-II-Rezeptor verbunden und in der Außenmembran des Makrophagen zusammen mit dem CD-4-Rezeptor präsentiert, an den die T-Helfer-Zellen andocken. Erst dann können die T-Helfer-Zellen immunologisch aktiv werden, indem die humorale Immunantwort in den B-Lymphozyten induziert wird und Zytokine sezerniert werden, die das Phagozytoseverhalten der Makrophagen stimulieren.</w:t>
      </w:r>
    </w:p>
    <w:p w14:paraId="3196C509" w14:textId="0011A8A7" w:rsidR="00371FA4" w:rsidRDefault="00371FA4" w:rsidP="00371FA4">
      <w:pPr>
        <w:spacing w:after="0"/>
      </w:pPr>
    </w:p>
    <w:p w14:paraId="6D082279" w14:textId="77777777" w:rsidR="00371FA4" w:rsidRDefault="00371FA4" w:rsidP="00371FA4">
      <w:pPr>
        <w:spacing w:after="0"/>
      </w:pPr>
      <w:r>
        <w:t>3.3 HLA-Klasse-III-Merkmal</w:t>
      </w:r>
    </w:p>
    <w:p w14:paraId="407FB73E" w14:textId="0ECB63FE" w:rsidR="00371FA4" w:rsidRPr="00AE71B9" w:rsidRDefault="00371FA4" w:rsidP="00371FA4">
      <w:pPr>
        <w:spacing w:after="0"/>
      </w:pPr>
      <w:r>
        <w:t>Zu den Klasse-III-Molekülen gehören die Komplementfaktoren C2 und C4 sowie Bf. Im Gegensatz zu den anderen Klassen handelt es sich hierbei um Plasmaproteine, die an der unspezifischen Immunabwehr beteiligt sind.</w:t>
      </w:r>
    </w:p>
    <w:p w14:paraId="6B500F15" w14:textId="795F8280" w:rsidR="00923871" w:rsidRDefault="00923871" w:rsidP="00923871">
      <w:pPr>
        <w:spacing w:after="0"/>
      </w:pPr>
    </w:p>
    <w:p w14:paraId="601E5BAA" w14:textId="07AF69A5" w:rsidR="00923871" w:rsidRDefault="00923871" w:rsidP="00923871">
      <w:pPr>
        <w:spacing w:after="0"/>
      </w:pPr>
    </w:p>
    <w:p w14:paraId="6F748D18" w14:textId="77777777" w:rsidR="00923871" w:rsidRDefault="00923871" w:rsidP="00923871">
      <w:pPr>
        <w:spacing w:after="0"/>
      </w:pPr>
    </w:p>
    <w:sectPr w:rsidR="009238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48075F"/>
    <w:multiLevelType w:val="hybridMultilevel"/>
    <w:tmpl w:val="E98AEB50"/>
    <w:lvl w:ilvl="0" w:tplc="4FFE4290">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B29F0"/>
    <w:rsid w:val="002A4D04"/>
    <w:rsid w:val="00371FA4"/>
    <w:rsid w:val="004B29F0"/>
    <w:rsid w:val="006C22B2"/>
    <w:rsid w:val="0075025E"/>
    <w:rsid w:val="00781E25"/>
    <w:rsid w:val="00923871"/>
    <w:rsid w:val="00A66FBC"/>
    <w:rsid w:val="00AE71B9"/>
    <w:rsid w:val="00BF56B6"/>
    <w:rsid w:val="00E351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B660"/>
  <w15:docId w15:val="{485E97DC-2D4C-4335-907A-D64FDC84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4B29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964">
      <w:bodyDiv w:val="1"/>
      <w:marLeft w:val="0"/>
      <w:marRight w:val="0"/>
      <w:marTop w:val="0"/>
      <w:marBottom w:val="0"/>
      <w:divBdr>
        <w:top w:val="none" w:sz="0" w:space="0" w:color="auto"/>
        <w:left w:val="none" w:sz="0" w:space="0" w:color="auto"/>
        <w:bottom w:val="none" w:sz="0" w:space="0" w:color="auto"/>
        <w:right w:val="none" w:sz="0" w:space="0" w:color="auto"/>
      </w:divBdr>
    </w:div>
    <w:div w:id="392772961">
      <w:bodyDiv w:val="1"/>
      <w:marLeft w:val="0"/>
      <w:marRight w:val="0"/>
      <w:marTop w:val="0"/>
      <w:marBottom w:val="0"/>
      <w:divBdr>
        <w:top w:val="none" w:sz="0" w:space="0" w:color="auto"/>
        <w:left w:val="none" w:sz="0" w:space="0" w:color="auto"/>
        <w:bottom w:val="none" w:sz="0" w:space="0" w:color="auto"/>
        <w:right w:val="none" w:sz="0" w:space="0" w:color="auto"/>
      </w:divBdr>
    </w:div>
    <w:div w:id="515003361">
      <w:bodyDiv w:val="1"/>
      <w:marLeft w:val="0"/>
      <w:marRight w:val="0"/>
      <w:marTop w:val="0"/>
      <w:marBottom w:val="0"/>
      <w:divBdr>
        <w:top w:val="none" w:sz="0" w:space="0" w:color="auto"/>
        <w:left w:val="none" w:sz="0" w:space="0" w:color="auto"/>
        <w:bottom w:val="none" w:sz="0" w:space="0" w:color="auto"/>
        <w:right w:val="none" w:sz="0" w:space="0" w:color="auto"/>
      </w:divBdr>
    </w:div>
    <w:div w:id="569072704">
      <w:bodyDiv w:val="1"/>
      <w:marLeft w:val="0"/>
      <w:marRight w:val="0"/>
      <w:marTop w:val="0"/>
      <w:marBottom w:val="0"/>
      <w:divBdr>
        <w:top w:val="none" w:sz="0" w:space="0" w:color="auto"/>
        <w:left w:val="none" w:sz="0" w:space="0" w:color="auto"/>
        <w:bottom w:val="none" w:sz="0" w:space="0" w:color="auto"/>
        <w:right w:val="none" w:sz="0" w:space="0" w:color="auto"/>
      </w:divBdr>
    </w:div>
    <w:div w:id="1046024083">
      <w:bodyDiv w:val="1"/>
      <w:marLeft w:val="0"/>
      <w:marRight w:val="0"/>
      <w:marTop w:val="0"/>
      <w:marBottom w:val="0"/>
      <w:divBdr>
        <w:top w:val="none" w:sz="0" w:space="0" w:color="auto"/>
        <w:left w:val="none" w:sz="0" w:space="0" w:color="auto"/>
        <w:bottom w:val="none" w:sz="0" w:space="0" w:color="auto"/>
        <w:right w:val="none" w:sz="0" w:space="0" w:color="auto"/>
      </w:divBdr>
      <w:divsChild>
        <w:div w:id="1684479116">
          <w:marLeft w:val="0"/>
          <w:marRight w:val="0"/>
          <w:marTop w:val="0"/>
          <w:marBottom w:val="0"/>
          <w:divBdr>
            <w:top w:val="none" w:sz="0" w:space="0" w:color="auto"/>
            <w:left w:val="none" w:sz="0" w:space="0" w:color="auto"/>
            <w:bottom w:val="none" w:sz="0" w:space="0" w:color="auto"/>
            <w:right w:val="none" w:sz="0" w:space="0" w:color="auto"/>
          </w:divBdr>
          <w:divsChild>
            <w:div w:id="15615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1415">
      <w:bodyDiv w:val="1"/>
      <w:marLeft w:val="0"/>
      <w:marRight w:val="0"/>
      <w:marTop w:val="0"/>
      <w:marBottom w:val="0"/>
      <w:divBdr>
        <w:top w:val="none" w:sz="0" w:space="0" w:color="auto"/>
        <w:left w:val="none" w:sz="0" w:space="0" w:color="auto"/>
        <w:bottom w:val="none" w:sz="0" w:space="0" w:color="auto"/>
        <w:right w:val="none" w:sz="0" w:space="0" w:color="auto"/>
      </w:divBdr>
    </w:div>
    <w:div w:id="2136017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4557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lw-r</dc:creator>
  <cp:keywords/>
  <dc:description/>
  <cp:lastModifiedBy>lw-r</cp:lastModifiedBy>
  <cp:revision>3</cp:revision>
  <dcterms:created xsi:type="dcterms:W3CDTF">2021-09-12T09:33:00Z</dcterms:created>
  <dcterms:modified xsi:type="dcterms:W3CDTF">2021-09-14T10:31:00Z</dcterms:modified>
</cp:coreProperties>
</file>