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3CAB" w14:textId="206466F6" w:rsidR="0004235F" w:rsidRPr="0010505B" w:rsidRDefault="0004235F" w:rsidP="0004235F">
      <w:pPr>
        <w:tabs>
          <w:tab w:val="num" w:pos="720"/>
        </w:tabs>
        <w:spacing w:line="216" w:lineRule="auto"/>
        <w:rPr>
          <w:rFonts w:cstheme="minorHAnsi"/>
        </w:rPr>
      </w:pPr>
      <w:r w:rsidRPr="0010505B">
        <w:rPr>
          <w:rFonts w:cstheme="minorHAnsi"/>
        </w:rPr>
        <w:t>Allgemeines</w:t>
      </w:r>
    </w:p>
    <w:p w14:paraId="28B33542" w14:textId="77777777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Inzidenz: 1,89 Fälle pro 1 000 000 Einwohner pro Jahr in Deutschland 1996 </w:t>
      </w:r>
    </w:p>
    <w:p w14:paraId="7E0EE7BC" w14:textId="3A3DD974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Einteilung: SJS &lt; 10%, SJS/TEN-Übergangsform = 10-</w:t>
      </w:r>
      <w:r w:rsidR="00047C6F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30</w:t>
      </w: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%, TEN &gt; 30%</w:t>
      </w:r>
    </w:p>
    <w:p w14:paraId="1CDD116F" w14:textId="77777777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Durchschnittliche Letalität: SJS = 1-5%, TEN = 25-35%</w:t>
      </w:r>
    </w:p>
    <w:p w14:paraId="67F285CC" w14:textId="77777777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proofErr w:type="gram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Am häufigsten auslösende Arzneimittel</w:t>
      </w:r>
      <w:proofErr w:type="gram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: Antiepileptika (am häufigsten Carbamazepin &gt; Phenytoin &gt; Phenobarbital &gt; Levetiracetam) (60%) &gt; Antibiotika (Erythromycin &gt;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Cefotaxim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&gt;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Trimethoprim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und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Sulfamethoxazol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&gt;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Cloxacillin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&gt; Amoxicillin) (26,6%) &gt; sonstige (nicht steroidale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Anirheumatika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/ Antiphlogistika,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Chemptherapeutika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)</w:t>
      </w:r>
    </w:p>
    <w:p w14:paraId="5E03BEF8" w14:textId="37371B4A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SCORTEN-Skala (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severity-of-illness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scale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)</w:t>
      </w:r>
    </w:p>
    <w:p w14:paraId="4372DFCE" w14:textId="069D86B1" w:rsidR="00F1373E" w:rsidRPr="0010505B" w:rsidRDefault="00F1373E" w:rsidP="00331AAA">
      <w:pPr>
        <w:pStyle w:val="Listenabsatz"/>
        <w:numPr>
          <w:ilvl w:val="1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Alter,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Trachykardie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, Neoplasie, initial abgelöste Hautoberfläche, Serumharnstoff, Serumglukose, Bikarbonat </w:t>
      </w:r>
    </w:p>
    <w:p w14:paraId="50C22475" w14:textId="77777777" w:rsidR="0004235F" w:rsidRPr="0010505B" w:rsidRDefault="0004235F" w:rsidP="0004235F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Wichtige Parameter</w:t>
      </w:r>
    </w:p>
    <w:p w14:paraId="42FD79B7" w14:textId="4F374288" w:rsidR="0004235F" w:rsidRPr="0010505B" w:rsidRDefault="0004235F" w:rsidP="0004235F">
      <w:pPr>
        <w:pStyle w:val="Listenabsatz"/>
        <w:numPr>
          <w:ilvl w:val="1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Krankheitsspezifische Parameter: allgemeine Symptome, dermale und muköse Symptome, okuläre Symptome,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Nikolski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-Phänomen, Langzeitkomplikationen/ Organmanifestationen</w:t>
      </w:r>
    </w:p>
    <w:p w14:paraId="113339D3" w14:textId="30500787" w:rsidR="0004235F" w:rsidRPr="0010505B" w:rsidRDefault="0004235F" w:rsidP="0004235F">
      <w:pPr>
        <w:pStyle w:val="Listenabsatz"/>
        <w:numPr>
          <w:ilvl w:val="1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Allgemein</w:t>
      </w:r>
      <w:r w:rsidR="00F1373E"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medizinische</w:t>
      </w: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Parameter: Körpertemperatur, Atemfrequenz, Puls, Blutdruck, Blutzucker, Blutbild, Salzhaushalt,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Creatininkonzentration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, INR, Gerinnungszeit, Hämatokrit, Test auf verschiedene Viruserkrankungen, mikroskopische Untersuchung nach Hautbiopsie, arterielle Blutgasanalyse, Urinuntersuchung, Konzentration an Eiterzellen, C-reaktivem Protein, Aminotransferase, Alanin-Aminotransferase, Gesamteiweiß, Albumin</w:t>
      </w:r>
    </w:p>
    <w:p w14:paraId="093D92B3" w14:textId="720AF9E3" w:rsidR="00F1373E" w:rsidRPr="0010505B" w:rsidRDefault="00F1373E" w:rsidP="00F1373E">
      <w:pPr>
        <w:pStyle w:val="Listenabsatz"/>
        <w:numPr>
          <w:ilvl w:val="0"/>
          <w:numId w:val="2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Pathogenese</w:t>
      </w:r>
    </w:p>
    <w:p w14:paraId="146701F2" w14:textId="77777777" w:rsidR="00685CCD" w:rsidRPr="0010505B" w:rsidRDefault="00685CCD" w:rsidP="00685CCD">
      <w:pPr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Fehlregulation der zytotoxischen T-Lymphozyten und natürlichen Killerzellen durch Medikamente [1,2]</w:t>
      </w:r>
    </w:p>
    <w:p w14:paraId="4EC26134" w14:textId="4426AE7C" w:rsidR="00685CCD" w:rsidRPr="0010505B" w:rsidRDefault="00685CCD" w:rsidP="00685CCD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 xml:space="preserve">Präsentation von </w:t>
      </w:r>
      <w:proofErr w:type="spellStart"/>
      <w:r w:rsidRPr="0010505B">
        <w:rPr>
          <w:rFonts w:cstheme="minorHAnsi"/>
        </w:rPr>
        <w:t>unmodifizierten</w:t>
      </w:r>
      <w:proofErr w:type="spellEnd"/>
      <w:r w:rsidRPr="0010505B">
        <w:rPr>
          <w:rFonts w:cstheme="minorHAnsi"/>
        </w:rPr>
        <w:t xml:space="preserve"> Arzneimitteln oder deren Metaboliten über HLA (= human </w:t>
      </w:r>
      <w:proofErr w:type="spellStart"/>
      <w:r w:rsidRPr="0010505B">
        <w:rPr>
          <w:rFonts w:cstheme="minorHAnsi"/>
        </w:rPr>
        <w:t>leucocyte</w:t>
      </w:r>
      <w:proofErr w:type="spellEnd"/>
      <w:r w:rsidRPr="0010505B">
        <w:rPr>
          <w:rFonts w:cstheme="minorHAnsi"/>
        </w:rPr>
        <w:t xml:space="preserve"> </w:t>
      </w:r>
      <w:proofErr w:type="spellStart"/>
      <w:r w:rsidRPr="0010505B">
        <w:rPr>
          <w:rFonts w:cstheme="minorHAnsi"/>
        </w:rPr>
        <w:t>antigene</w:t>
      </w:r>
      <w:proofErr w:type="spellEnd"/>
      <w:r w:rsidRPr="0010505B">
        <w:rPr>
          <w:rFonts w:cstheme="minorHAnsi"/>
        </w:rPr>
        <w:t>)</w:t>
      </w:r>
    </w:p>
    <w:p w14:paraId="1217DBE3" w14:textId="77777777" w:rsidR="00685CCD" w:rsidRPr="0010505B" w:rsidRDefault="00685CCD" w:rsidP="00685CCD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 xml:space="preserve">Aktivierung von CD8+ zytotoxischen T-Lymphozyten über HLA und Freisetzung von zytotoxischen Signalen und </w:t>
      </w:r>
      <w:proofErr w:type="spellStart"/>
      <w:r w:rsidRPr="0010505B">
        <w:rPr>
          <w:rFonts w:cstheme="minorHAnsi"/>
        </w:rPr>
        <w:t>lythischen</w:t>
      </w:r>
      <w:proofErr w:type="spellEnd"/>
      <w:r w:rsidRPr="0010505B">
        <w:rPr>
          <w:rFonts w:cstheme="minorHAnsi"/>
        </w:rPr>
        <w:t xml:space="preserve"> Enzymen</w:t>
      </w:r>
    </w:p>
    <w:p w14:paraId="58784F9D" w14:textId="5CB03642" w:rsidR="00351173" w:rsidRPr="0010505B" w:rsidRDefault="00685CCD" w:rsidP="00F50372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 xml:space="preserve">Apoptose und Ablösung von Haut- und Schleimhautschichten </w:t>
      </w:r>
    </w:p>
    <w:p w14:paraId="7E4601A6" w14:textId="77777777" w:rsidR="001500D1" w:rsidRPr="0010505B" w:rsidRDefault="001500D1" w:rsidP="001500D1">
      <w:pPr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Der Fas-Ligand aktiviert den Todesrezeptor Fas und sorgt für die Apoptose der Zelle</w:t>
      </w:r>
    </w:p>
    <w:p w14:paraId="645DE0EB" w14:textId="7AAD7512" w:rsidR="001500D1" w:rsidRPr="0010505B" w:rsidRDefault="005933FB" w:rsidP="001500D1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Regulierung des Fas-Liganden wurde noch nicht vollständig verstanden</w:t>
      </w:r>
    </w:p>
    <w:p w14:paraId="6F1E6627" w14:textId="18CEE600" w:rsidR="001500D1" w:rsidRPr="0010505B" w:rsidRDefault="001500D1" w:rsidP="001500D1">
      <w:pPr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 xml:space="preserve">Sekretorisches </w:t>
      </w:r>
      <w:proofErr w:type="spellStart"/>
      <w:r w:rsidRPr="0010505B">
        <w:rPr>
          <w:rFonts w:cstheme="minorHAnsi"/>
        </w:rPr>
        <w:t>Granulysin</w:t>
      </w:r>
      <w:proofErr w:type="spellEnd"/>
    </w:p>
    <w:p w14:paraId="24F37DFA" w14:textId="77777777" w:rsidR="001500D1" w:rsidRPr="0010505B" w:rsidRDefault="001500D1" w:rsidP="001500D1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Protein, das von Zytotoxischen T-Lymphozyten, Natürlichen Killerzellen und Natürlichen Killer-T-Zellen sezerniert wird</w:t>
      </w:r>
    </w:p>
    <w:p w14:paraId="2C34B192" w14:textId="77777777" w:rsidR="001500D1" w:rsidRPr="0010505B" w:rsidRDefault="001500D1" w:rsidP="001500D1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 xml:space="preserve">Könnte ein Schlüsselmolekül bei der </w:t>
      </w:r>
      <w:proofErr w:type="spellStart"/>
      <w:r w:rsidRPr="0010505B">
        <w:rPr>
          <w:rFonts w:cstheme="minorHAnsi"/>
        </w:rPr>
        <w:t>Apoptoseinduktion</w:t>
      </w:r>
      <w:proofErr w:type="spellEnd"/>
      <w:r w:rsidRPr="0010505B">
        <w:rPr>
          <w:rFonts w:cstheme="minorHAnsi"/>
        </w:rPr>
        <w:t xml:space="preserve"> von Keratinozyten sein</w:t>
      </w:r>
    </w:p>
    <w:p w14:paraId="545A3D6E" w14:textId="5C02EF28" w:rsidR="001500D1" w:rsidRPr="0010505B" w:rsidRDefault="001500D1" w:rsidP="001500D1">
      <w:pPr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Genetische Anfälligkeit</w:t>
      </w:r>
    </w:p>
    <w:p w14:paraId="779DC0F2" w14:textId="0615FD7C" w:rsidR="001500D1" w:rsidRPr="0010505B" w:rsidRDefault="001500D1" w:rsidP="001500D1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HLA-Genotyp</w:t>
      </w:r>
    </w:p>
    <w:p w14:paraId="14AA33EC" w14:textId="2124B992" w:rsidR="001500D1" w:rsidRPr="0010505B" w:rsidRDefault="001500D1" w:rsidP="001500D1">
      <w:pPr>
        <w:numPr>
          <w:ilvl w:val="2"/>
          <w:numId w:val="2"/>
        </w:numPr>
        <w:suppressAutoHyphens/>
        <w:spacing w:after="0" w:line="240" w:lineRule="auto"/>
        <w:rPr>
          <w:rFonts w:cstheme="minorHAnsi"/>
        </w:rPr>
      </w:pPr>
      <w:r w:rsidRPr="0010505B">
        <w:rPr>
          <w:rFonts w:cstheme="minorHAnsi"/>
        </w:rPr>
        <w:t>Polymorphismen bei CYP450-Enzymen</w:t>
      </w:r>
    </w:p>
    <w:p w14:paraId="03D5466C" w14:textId="27FB5E20" w:rsidR="0004235F" w:rsidRPr="0010505B" w:rsidRDefault="0004235F">
      <w:pPr>
        <w:rPr>
          <w:rFonts w:cstheme="minorHAnsi"/>
        </w:rPr>
      </w:pPr>
    </w:p>
    <w:p w14:paraId="7156B0A3" w14:textId="1FAFADC1" w:rsidR="0004235F" w:rsidRPr="0010505B" w:rsidRDefault="0004235F">
      <w:pPr>
        <w:rPr>
          <w:rFonts w:cstheme="minorHAnsi"/>
        </w:rPr>
      </w:pPr>
      <w:r w:rsidRPr="0010505B">
        <w:rPr>
          <w:rFonts w:cstheme="minorHAnsi"/>
        </w:rPr>
        <w:t>Paracetamol-induziertes SJS</w:t>
      </w:r>
    </w:p>
    <w:p w14:paraId="49022586" w14:textId="77777777" w:rsidR="002C4F79" w:rsidRPr="0010505B" w:rsidRDefault="002C4F79" w:rsidP="002C4F79">
      <w:pPr>
        <w:pStyle w:val="Listenabsatz"/>
        <w:numPr>
          <w:ilvl w:val="0"/>
          <w:numId w:val="3"/>
        </w:numPr>
        <w:spacing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Kontroverse Datenlage über den Zusammenhand zwischen Paracetamol und SJS/TEN</w:t>
      </w:r>
    </w:p>
    <w:p w14:paraId="0CB35788" w14:textId="77777777" w:rsidR="002C4F79" w:rsidRPr="0010505B" w:rsidRDefault="002C4F79" w:rsidP="002C4F79">
      <w:pPr>
        <w:pStyle w:val="Listenabsatz"/>
        <w:numPr>
          <w:ilvl w:val="1"/>
          <w:numId w:val="3"/>
        </w:numPr>
        <w:spacing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2C4F79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Eine multivariate Analyse zeigte signifikanten Zusammenhang zwischen SJS und </w:t>
      </w:r>
      <w:proofErr w:type="spellStart"/>
      <w:r w:rsidRPr="002C4F79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Paracetamoleinnahme</w:t>
      </w:r>
      <w:proofErr w:type="spellEnd"/>
    </w:p>
    <w:p w14:paraId="2518CD0B" w14:textId="5692BD69" w:rsidR="002C4F79" w:rsidRPr="0010505B" w:rsidRDefault="002C4F79" w:rsidP="002C4F79">
      <w:pPr>
        <w:pStyle w:val="Listenabsatz"/>
        <w:numPr>
          <w:ilvl w:val="1"/>
          <w:numId w:val="3"/>
        </w:numPr>
        <w:spacing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Analyse der </w:t>
      </w:r>
      <w:r w:rsidRPr="0010505B">
        <w:rPr>
          <w:rFonts w:asciiTheme="minorHAnsi" w:hAnsiTheme="minorHAnsi" w:cstheme="minorHAnsi"/>
          <w:sz w:val="22"/>
          <w:szCs w:val="22"/>
        </w:rPr>
        <w:t xml:space="preserve">French </w:t>
      </w:r>
      <w:proofErr w:type="spellStart"/>
      <w:r w:rsidRPr="0010505B"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 w:rsidRPr="001050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505B">
        <w:rPr>
          <w:rFonts w:asciiTheme="minorHAnsi" w:hAnsiTheme="minorHAnsi" w:cstheme="minorHAnsi"/>
          <w:sz w:val="22"/>
          <w:szCs w:val="22"/>
        </w:rPr>
        <w:t>database</w:t>
      </w:r>
      <w:proofErr w:type="spellEnd"/>
      <w:r w:rsidRPr="0010505B">
        <w:rPr>
          <w:rFonts w:asciiTheme="minorHAnsi" w:hAnsiTheme="minorHAnsi" w:cstheme="minorHAnsi"/>
          <w:sz w:val="22"/>
          <w:szCs w:val="22"/>
        </w:rPr>
        <w:t xml:space="preserve"> ergab keinen signifikanten Zusammenhang</w:t>
      </w:r>
    </w:p>
    <w:p w14:paraId="69CE5CFF" w14:textId="77777777" w:rsidR="001C39AB" w:rsidRPr="0010505B" w:rsidRDefault="001C39AB" w:rsidP="0004235F">
      <w:pPr>
        <w:pStyle w:val="Listenabsatz"/>
        <w:numPr>
          <w:ilvl w:val="0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Ungefähre Inzidenz für Paracetamol und Ibuprofen: 1 pro 1.000.000 neue Nutzer (Packungsbeilage: Sehr selten &lt; 1/10.000)</w:t>
      </w:r>
    </w:p>
    <w:p w14:paraId="5A928076" w14:textId="45E12828" w:rsidR="0004235F" w:rsidRPr="0010505B" w:rsidRDefault="0004235F" w:rsidP="0004235F">
      <w:pPr>
        <w:pStyle w:val="Listenabsatz"/>
        <w:numPr>
          <w:ilvl w:val="0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Anteil von Paracetamol an medikamentös bedingten SJS/TEN: 6,17%-16,56% (Anteil NSAR: 15,93%)</w:t>
      </w:r>
      <w:r w:rsidR="008D27A7"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(aus 3 verschiedenen Studien)</w:t>
      </w:r>
    </w:p>
    <w:p w14:paraId="4157197E" w14:textId="526B42E8" w:rsidR="0004235F" w:rsidRPr="0010505B" w:rsidRDefault="0004235F" w:rsidP="0004235F">
      <w:pPr>
        <w:pStyle w:val="Listenabsatz"/>
        <w:numPr>
          <w:ilvl w:val="0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Odds Ratio für medikamenteninduzierte SJS</w:t>
      </w:r>
    </w:p>
    <w:p w14:paraId="345CFC84" w14:textId="5FF0A9DF" w:rsidR="002C4F79" w:rsidRPr="002C4F79" w:rsidRDefault="0004235F" w:rsidP="002C4F79">
      <w:pPr>
        <w:pStyle w:val="Listenabsatz"/>
        <w:numPr>
          <w:ilvl w:val="1"/>
          <w:numId w:val="3"/>
        </w:numPr>
        <w:spacing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OR für Paracetamol: </w:t>
      </w:r>
      <w:r w:rsidR="002C4F79" w:rsidRPr="002C4F79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3,2 (1,5-6,9) </w:t>
      </w:r>
      <w:r w:rsidR="006A304C" w:rsidRPr="006A304C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bis 13 (2.8-62)</w:t>
      </w:r>
    </w:p>
    <w:p w14:paraId="6A3FAB7E" w14:textId="3886667F" w:rsidR="0004235F" w:rsidRPr="0010505B" w:rsidRDefault="0004235F" w:rsidP="0004235F">
      <w:pPr>
        <w:pStyle w:val="Listenabsatz"/>
        <w:numPr>
          <w:ilvl w:val="1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OR für Ibuprofen: 3,3 (0,9-11,5)</w:t>
      </w:r>
      <w:r w:rsidR="006A304C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</w:t>
      </w:r>
      <w:r w:rsidR="006A304C" w:rsidRPr="006A304C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bis 33 (8.6-124)</w:t>
      </w:r>
    </w:p>
    <w:p w14:paraId="063B48C9" w14:textId="7582B363" w:rsidR="002C4F79" w:rsidRPr="0010505B" w:rsidRDefault="002C4F79" w:rsidP="002C4F79">
      <w:pPr>
        <w:pStyle w:val="Listenabsatz"/>
        <w:numPr>
          <w:ilvl w:val="0"/>
          <w:numId w:val="3"/>
        </w:numPr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Analyse der French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pharmacovigilance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database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mit 112 Fällen</w:t>
      </w:r>
    </w:p>
    <w:p w14:paraId="5B5DF59B" w14:textId="56409259" w:rsidR="002C4F79" w:rsidRPr="002C4F79" w:rsidRDefault="002C4F79" w:rsidP="002C4F79">
      <w:pPr>
        <w:pStyle w:val="Listenabsatz"/>
        <w:numPr>
          <w:ilvl w:val="1"/>
          <w:numId w:val="3"/>
        </w:numPr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2C4F79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lastRenderedPageBreak/>
        <w:t xml:space="preserve">Mehr Frauen als Männer betroffen (Männer/Frauen: 51/61) </w:t>
      </w:r>
    </w:p>
    <w:p w14:paraId="3EA425EF" w14:textId="77777777" w:rsidR="002C4F79" w:rsidRPr="002C4F79" w:rsidRDefault="002C4F79" w:rsidP="002C4F79">
      <w:pPr>
        <w:pStyle w:val="Listenabsatz"/>
        <w:numPr>
          <w:ilvl w:val="1"/>
          <w:numId w:val="3"/>
        </w:numPr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</w:pPr>
      <w:r w:rsidRPr="002C4F79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Durchschnittlich zwischen 36,9- und 43,9-jährige betroffen </w:t>
      </w:r>
    </w:p>
    <w:p w14:paraId="27A2FC8F" w14:textId="2966561A" w:rsidR="0004235F" w:rsidRPr="0010505B" w:rsidRDefault="0004235F" w:rsidP="0004235F">
      <w:pPr>
        <w:pStyle w:val="Listenabsatz"/>
        <w:numPr>
          <w:ilvl w:val="0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In den meisten Fällen traten Symptome bereits nach </w:t>
      </w:r>
      <w:r w:rsidR="006103B1"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ca. </w:t>
      </w: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2 Tagen auf</w:t>
      </w:r>
    </w:p>
    <w:p w14:paraId="7BE7DBF0" w14:textId="2459BAA2" w:rsidR="002C4F79" w:rsidRPr="0010505B" w:rsidRDefault="002C4F79" w:rsidP="002C4F79">
      <w:pPr>
        <w:pStyle w:val="Listenabsatz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C4F79">
        <w:rPr>
          <w:rFonts w:asciiTheme="minorHAnsi" w:hAnsiTheme="minorHAnsi" w:cstheme="minorHAnsi"/>
          <w:sz w:val="22"/>
          <w:szCs w:val="22"/>
        </w:rPr>
        <w:t>Hilfreiche Biomarker: IL-2R</w:t>
      </w:r>
      <w:r w:rsidRPr="002C4F79">
        <w:rPr>
          <w:rFonts w:asciiTheme="minorHAnsi" w:hAnsiTheme="minorHAnsi" w:cstheme="minorHAnsi"/>
          <w:sz w:val="22"/>
          <w:szCs w:val="22"/>
          <w:lang w:val="el-GR"/>
        </w:rPr>
        <w:t>α-</w:t>
      </w:r>
      <w:r w:rsidRPr="002C4F79">
        <w:rPr>
          <w:rFonts w:asciiTheme="minorHAnsi" w:hAnsiTheme="minorHAnsi" w:cstheme="minorHAnsi"/>
          <w:sz w:val="22"/>
          <w:szCs w:val="22"/>
        </w:rPr>
        <w:t>Level</w:t>
      </w:r>
      <w:r w:rsidR="008D27A7" w:rsidRPr="0010505B">
        <w:rPr>
          <w:rFonts w:asciiTheme="minorHAnsi" w:hAnsiTheme="minorHAnsi" w:cstheme="minorHAnsi"/>
          <w:sz w:val="22"/>
          <w:szCs w:val="22"/>
        </w:rPr>
        <w:t>, HLA-A*02:06, HLA-B*13:01, HLA-B*44:03, HLA-C*14:03</w:t>
      </w:r>
    </w:p>
    <w:p w14:paraId="2159B0BF" w14:textId="300BE8BE" w:rsidR="002C4F79" w:rsidRPr="002C4F79" w:rsidRDefault="008D27A7" w:rsidP="002C4F79">
      <w:pPr>
        <w:pStyle w:val="Listenabsatz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hAnsiTheme="minorHAnsi" w:cstheme="minorHAnsi"/>
          <w:sz w:val="22"/>
          <w:szCs w:val="22"/>
        </w:rPr>
        <w:t xml:space="preserve">Pathogenese: </w:t>
      </w:r>
      <w:proofErr w:type="spellStart"/>
      <w:r w:rsidRPr="0010505B"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 w:rsidRPr="0010505B">
        <w:rPr>
          <w:rFonts w:asciiTheme="minorHAnsi" w:hAnsiTheme="minorHAnsi" w:cstheme="minorHAnsi"/>
          <w:sz w:val="22"/>
          <w:szCs w:val="22"/>
        </w:rPr>
        <w:t xml:space="preserve"> Arzneimittel könnten entzündungshemmende Mechanismen unterdrücken und zu der abnormalen Immunantwort mit SJS/TEN führen</w:t>
      </w:r>
    </w:p>
    <w:p w14:paraId="0A93340A" w14:textId="0DD0666F" w:rsidR="002C4F79" w:rsidRPr="0010505B" w:rsidRDefault="008D27A7" w:rsidP="0004235F">
      <w:pPr>
        <w:pStyle w:val="Listenabsatz"/>
        <w:numPr>
          <w:ilvl w:val="0"/>
          <w:numId w:val="3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hAnsiTheme="minorHAnsi" w:cstheme="minorHAnsi"/>
          <w:sz w:val="22"/>
          <w:szCs w:val="22"/>
        </w:rPr>
        <w:t xml:space="preserve">Dosis-Krankheitsverlauf-Konstellation nicht möglich </w:t>
      </w:r>
      <w:r w:rsidR="00D07D88" w:rsidRPr="0010505B">
        <w:rPr>
          <w:rFonts w:asciiTheme="minorHAnsi" w:hAnsiTheme="minorHAnsi" w:cstheme="minorHAnsi"/>
          <w:sz w:val="22"/>
          <w:szCs w:val="22"/>
        </w:rPr>
        <w:t>a</w:t>
      </w:r>
      <w:r w:rsidRPr="0010505B">
        <w:rPr>
          <w:rFonts w:asciiTheme="minorHAnsi" w:hAnsiTheme="minorHAnsi" w:cstheme="minorHAnsi"/>
          <w:sz w:val="22"/>
          <w:szCs w:val="22"/>
        </w:rPr>
        <w:t>ufgrund von fehlenden Daten in Fallberichten</w:t>
      </w:r>
    </w:p>
    <w:p w14:paraId="0BA8295E" w14:textId="77777777" w:rsidR="008D27A7" w:rsidRPr="00E745A9" w:rsidRDefault="008D27A7" w:rsidP="008D27A7">
      <w:pPr>
        <w:pStyle w:val="Listenabsatz"/>
        <w:numPr>
          <w:ilvl w:val="1"/>
          <w:numId w:val="3"/>
        </w:numPr>
        <w:spacing w:line="21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E745A9">
        <w:rPr>
          <w:rFonts w:asciiTheme="minorHAnsi" w:eastAsiaTheme="minorEastAsia" w:hAnsiTheme="minorHAnsi" w:cstheme="minorHAnsi"/>
          <w:b/>
          <w:bCs/>
          <w:color w:val="000000" w:themeColor="text1"/>
          <w:kern w:val="24"/>
          <w:sz w:val="22"/>
          <w:szCs w:val="22"/>
        </w:rPr>
        <w:t>14 Fallberichte</w:t>
      </w:r>
    </w:p>
    <w:p w14:paraId="31A998F6" w14:textId="2175DC30" w:rsidR="0004235F" w:rsidRPr="0010505B" w:rsidRDefault="0004235F">
      <w:pPr>
        <w:rPr>
          <w:rFonts w:cstheme="minorHAnsi"/>
        </w:rPr>
      </w:pPr>
    </w:p>
    <w:p w14:paraId="418CF4CE" w14:textId="73392956" w:rsidR="00ED2532" w:rsidRPr="0010505B" w:rsidRDefault="008C3FDA">
      <w:pPr>
        <w:rPr>
          <w:rFonts w:cstheme="minorHAnsi"/>
        </w:rPr>
      </w:pPr>
      <w:r w:rsidRPr="0010505B">
        <w:rPr>
          <w:rFonts w:cstheme="minorHAnsi"/>
        </w:rPr>
        <w:t>Ibuprofen-induziertes SJS</w:t>
      </w:r>
    </w:p>
    <w:p w14:paraId="5F5FD850" w14:textId="77777777" w:rsidR="00DD57C0" w:rsidRPr="0010505B" w:rsidRDefault="008C3FDA" w:rsidP="00DD57C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Ungefähre Inzidenz für Paracetamol und Ibuprofen: 1 pro 1.000.000 neue Nutzer (Packungsbeilage: Sehr selten &lt; 1/10.000)</w:t>
      </w:r>
    </w:p>
    <w:p w14:paraId="54794690" w14:textId="77777777" w:rsidR="00DD57C0" w:rsidRPr="0010505B" w:rsidRDefault="008C3FDA" w:rsidP="00DD57C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Anteil von Ibuprofen an medikamentös bedingten SJS/TEN: 4,46% - 17,2% (2 verschiedene Studien)</w:t>
      </w:r>
    </w:p>
    <w:p w14:paraId="28B11ED9" w14:textId="77777777" w:rsidR="00DD57C0" w:rsidRPr="0010505B" w:rsidRDefault="008C3FDA" w:rsidP="00DD57C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Es traten Fälle von SJS/TEN nach 8 Tagen bis 3 Monate nach </w:t>
      </w:r>
      <w:proofErr w:type="spellStart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Ibuprofeneinnahme</w:t>
      </w:r>
      <w:proofErr w:type="spellEnd"/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 xml:space="preserve"> auf</w:t>
      </w:r>
    </w:p>
    <w:p w14:paraId="561BEF50" w14:textId="08B8B67E" w:rsidR="00623E70" w:rsidRPr="00623E70" w:rsidRDefault="00623E70" w:rsidP="00623E7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Mann/Frau -Verhältnis: 5/10 Fallberichte</w:t>
      </w:r>
    </w:p>
    <w:p w14:paraId="160637D1" w14:textId="77777777" w:rsidR="00DD57C0" w:rsidRPr="0010505B" w:rsidRDefault="008C3FDA" w:rsidP="00DD57C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eastAsiaTheme="minorEastAsia" w:hAnsiTheme="minorHAnsi" w:cstheme="minorHAnsi"/>
          <w:color w:val="000000" w:themeColor="text1"/>
          <w:kern w:val="24"/>
          <w:sz w:val="22"/>
          <w:szCs w:val="22"/>
        </w:rPr>
        <w:t>Es traten Fälle im Alter von 7 Monaten bis 22 Jahre auf (Durchschnittlich 8,81 Jahre aus allen Fallberichten zusammengerechnet)</w:t>
      </w:r>
    </w:p>
    <w:p w14:paraId="0A02D185" w14:textId="2E8869C1" w:rsidR="00DD57C0" w:rsidRDefault="00DD57C0" w:rsidP="00DD57C0">
      <w:pPr>
        <w:pStyle w:val="Listenabsatz"/>
        <w:numPr>
          <w:ilvl w:val="0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hAnsiTheme="minorHAnsi" w:cstheme="minorHAnsi"/>
          <w:sz w:val="22"/>
          <w:szCs w:val="22"/>
        </w:rPr>
        <w:t xml:space="preserve">Dosis-Krankheitsverlauf-Konstellation nicht möglich </w:t>
      </w:r>
      <w:r w:rsidR="00D07D88" w:rsidRPr="0010505B">
        <w:rPr>
          <w:rFonts w:asciiTheme="minorHAnsi" w:hAnsiTheme="minorHAnsi" w:cstheme="minorHAnsi"/>
          <w:sz w:val="22"/>
          <w:szCs w:val="22"/>
        </w:rPr>
        <w:t>a</w:t>
      </w:r>
      <w:r w:rsidRPr="0010505B">
        <w:rPr>
          <w:rFonts w:asciiTheme="minorHAnsi" w:hAnsiTheme="minorHAnsi" w:cstheme="minorHAnsi"/>
          <w:sz w:val="22"/>
          <w:szCs w:val="22"/>
        </w:rPr>
        <w:t>ufgrund von fehlenden Daten in Fallberichten</w:t>
      </w:r>
    </w:p>
    <w:p w14:paraId="44A2D59C" w14:textId="77777777" w:rsidR="005F3234" w:rsidRPr="0082506E" w:rsidRDefault="005F3234" w:rsidP="005F3234">
      <w:pPr>
        <w:pStyle w:val="Listenabsatz"/>
        <w:numPr>
          <w:ilvl w:val="1"/>
          <w:numId w:val="8"/>
        </w:numPr>
        <w:spacing w:line="21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2506E">
        <w:rPr>
          <w:rFonts w:asciiTheme="minorHAnsi" w:eastAsiaTheme="minorEastAsia" w:hAnsiTheme="minorHAnsi" w:cstheme="minorHAnsi"/>
          <w:b/>
          <w:bCs/>
          <w:color w:val="000000" w:themeColor="text1"/>
          <w:kern w:val="24"/>
          <w:sz w:val="22"/>
          <w:szCs w:val="22"/>
        </w:rPr>
        <w:t>8 Fallberichte</w:t>
      </w:r>
    </w:p>
    <w:p w14:paraId="424DE170" w14:textId="5CD0B863" w:rsidR="005F3234" w:rsidRPr="0010505B" w:rsidRDefault="005F3234" w:rsidP="005F3234">
      <w:pPr>
        <w:pStyle w:val="Listenabsatz"/>
        <w:numPr>
          <w:ilvl w:val="1"/>
          <w:numId w:val="8"/>
        </w:numPr>
        <w:spacing w:line="21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Dosis wurde 1x pro Kg und 1x absolut angegeben</w:t>
      </w:r>
    </w:p>
    <w:p w14:paraId="72F3B1AA" w14:textId="2B38E0E7" w:rsidR="008C3FDA" w:rsidRPr="0010505B" w:rsidRDefault="008C3FDA">
      <w:pPr>
        <w:rPr>
          <w:rFonts w:cstheme="minorHAnsi"/>
        </w:rPr>
      </w:pPr>
    </w:p>
    <w:p w14:paraId="4018B896" w14:textId="0F6E34F4" w:rsidR="00D32B7F" w:rsidRPr="0010505B" w:rsidRDefault="00D32B7F">
      <w:pPr>
        <w:rPr>
          <w:rFonts w:cstheme="minorHAnsi"/>
        </w:rPr>
      </w:pPr>
    </w:p>
    <w:p w14:paraId="11F21BAE" w14:textId="0C3FFD5F" w:rsidR="00D32B7F" w:rsidRPr="0010505B" w:rsidRDefault="00D32B7F">
      <w:pPr>
        <w:rPr>
          <w:rFonts w:cstheme="minorHAnsi"/>
        </w:rPr>
      </w:pPr>
      <w:proofErr w:type="spellStart"/>
      <w:r w:rsidRPr="0010505B">
        <w:rPr>
          <w:rFonts w:cstheme="minorHAnsi"/>
        </w:rPr>
        <w:t>Diclofenac</w:t>
      </w:r>
      <w:proofErr w:type="spellEnd"/>
      <w:r w:rsidRPr="0010505B">
        <w:rPr>
          <w:rFonts w:cstheme="minorHAnsi"/>
        </w:rPr>
        <w:t>-induziertes SJS</w:t>
      </w:r>
    </w:p>
    <w:p w14:paraId="19A8CEDB" w14:textId="77777777" w:rsidR="00D32B7F" w:rsidRPr="00D32B7F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32B7F">
        <w:rPr>
          <w:rFonts w:asciiTheme="minorHAnsi" w:hAnsiTheme="minorHAnsi" w:cstheme="minorHAnsi"/>
          <w:sz w:val="22"/>
          <w:szCs w:val="22"/>
        </w:rPr>
        <w:t xml:space="preserve">In einer Kohortenstudie mit 100 Patienten wurden die meisten TEN-Fälle durch </w:t>
      </w:r>
      <w:proofErr w:type="spellStart"/>
      <w:r w:rsidRPr="00D32B7F"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 w:rsidRPr="00D32B7F">
        <w:rPr>
          <w:rFonts w:asciiTheme="minorHAnsi" w:hAnsiTheme="minorHAnsi" w:cstheme="minorHAnsi"/>
          <w:sz w:val="22"/>
          <w:szCs w:val="22"/>
        </w:rPr>
        <w:t>-Injektionen ausgelöst</w:t>
      </w:r>
    </w:p>
    <w:p w14:paraId="7C146093" w14:textId="77777777" w:rsidR="00D32B7F" w:rsidRPr="00D32B7F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32B7F">
        <w:rPr>
          <w:rFonts w:asciiTheme="minorHAnsi" w:hAnsiTheme="minorHAnsi" w:cstheme="minorHAnsi"/>
          <w:sz w:val="22"/>
          <w:szCs w:val="22"/>
        </w:rPr>
        <w:t xml:space="preserve">Es traten Fälle von SJS/TEN nach 2 - 6 Tagen nach </w:t>
      </w:r>
      <w:proofErr w:type="spellStart"/>
      <w:r w:rsidRPr="00D32B7F"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 w:rsidRPr="00D32B7F">
        <w:rPr>
          <w:rFonts w:asciiTheme="minorHAnsi" w:hAnsiTheme="minorHAnsi" w:cstheme="minorHAnsi"/>
          <w:sz w:val="22"/>
          <w:szCs w:val="22"/>
        </w:rPr>
        <w:t xml:space="preserve"> auf</w:t>
      </w:r>
    </w:p>
    <w:p w14:paraId="34C9F05F" w14:textId="2C37907C" w:rsidR="00D32B7F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32B7F">
        <w:rPr>
          <w:rFonts w:asciiTheme="minorHAnsi" w:hAnsiTheme="minorHAnsi" w:cstheme="minorHAnsi"/>
          <w:sz w:val="22"/>
          <w:szCs w:val="22"/>
        </w:rPr>
        <w:t>Mann/Frau -Verhältnis: 2/3 Fallberichte</w:t>
      </w:r>
    </w:p>
    <w:p w14:paraId="6AAEA7E1" w14:textId="7215FDE9" w:rsidR="00501FAC" w:rsidRPr="00D32B7F" w:rsidRDefault="00501FAC" w:rsidP="00501FAC">
      <w:pPr>
        <w:pStyle w:val="Listenabsatz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Schwerere Verläufe bei Männern (laut Fallberichten) mit höherer Todesrate und SCORTEN-Skala</w:t>
      </w:r>
    </w:p>
    <w:p w14:paraId="421747D9" w14:textId="7005D675" w:rsidR="00D32B7F" w:rsidRPr="00D32B7F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D32B7F">
        <w:rPr>
          <w:rFonts w:asciiTheme="minorHAnsi" w:hAnsiTheme="minorHAnsi" w:cstheme="minorHAnsi"/>
          <w:sz w:val="22"/>
          <w:szCs w:val="22"/>
        </w:rPr>
        <w:t>Es traten Fälle im Alter von 45 - 70 Jahre auf</w:t>
      </w:r>
      <w:r w:rsidRPr="0010505B">
        <w:rPr>
          <w:rFonts w:asciiTheme="minorHAnsi" w:hAnsiTheme="minorHAnsi" w:cstheme="minorHAnsi"/>
          <w:sz w:val="22"/>
          <w:szCs w:val="22"/>
        </w:rPr>
        <w:t xml:space="preserve"> (aus allen Fallberichten zusammengerechnet)</w:t>
      </w:r>
    </w:p>
    <w:p w14:paraId="0DE7E5BB" w14:textId="5F685202" w:rsidR="00D32B7F" w:rsidRPr="0010505B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hAnsiTheme="minorHAnsi" w:cstheme="minorHAnsi"/>
          <w:sz w:val="22"/>
          <w:szCs w:val="22"/>
        </w:rPr>
        <w:t xml:space="preserve">Pathomechanismus: schwere Entzündung und Ausströmen von zytotoxischen CD8-Lymohpzyten und Zytokinen </w:t>
      </w:r>
      <w:r w:rsidRPr="0010505B">
        <w:rPr>
          <w:rFonts w:asciiTheme="minorHAnsi" w:hAnsiTheme="minorHAnsi" w:cstheme="minorHAnsi"/>
          <w:sz w:val="22"/>
          <w:szCs w:val="22"/>
        </w:rPr>
        <w:sym w:font="Wingdings" w:char="F0E0"/>
      </w:r>
      <w:r w:rsidRPr="0010505B">
        <w:rPr>
          <w:rFonts w:asciiTheme="minorHAnsi" w:hAnsiTheme="minorHAnsi" w:cstheme="minorHAnsi"/>
          <w:sz w:val="22"/>
          <w:szCs w:val="22"/>
        </w:rPr>
        <w:t xml:space="preserve"> Schwächung der </w:t>
      </w:r>
      <w:proofErr w:type="spellStart"/>
      <w:r w:rsidRPr="0010505B">
        <w:rPr>
          <w:rFonts w:asciiTheme="minorHAnsi" w:hAnsiTheme="minorHAnsi" w:cstheme="minorHAnsi"/>
          <w:sz w:val="22"/>
          <w:szCs w:val="22"/>
        </w:rPr>
        <w:t>st</w:t>
      </w:r>
      <w:r w:rsidR="00623E70">
        <w:rPr>
          <w:rFonts w:asciiTheme="minorHAnsi" w:hAnsiTheme="minorHAnsi" w:cstheme="minorHAnsi"/>
          <w:sz w:val="22"/>
          <w:szCs w:val="22"/>
        </w:rPr>
        <w:t>r</w:t>
      </w:r>
      <w:r w:rsidRPr="0010505B">
        <w:rPr>
          <w:rFonts w:asciiTheme="minorHAnsi" w:hAnsiTheme="minorHAnsi" w:cstheme="minorHAnsi"/>
          <w:sz w:val="22"/>
          <w:szCs w:val="22"/>
        </w:rPr>
        <w:t>omalen</w:t>
      </w:r>
      <w:proofErr w:type="spellEnd"/>
      <w:r w:rsidRPr="0010505B">
        <w:rPr>
          <w:rFonts w:asciiTheme="minorHAnsi" w:hAnsiTheme="minorHAnsi" w:cstheme="minorHAnsi"/>
          <w:sz w:val="22"/>
          <w:szCs w:val="22"/>
        </w:rPr>
        <w:t xml:space="preserve"> Epithelzellen</w:t>
      </w:r>
    </w:p>
    <w:p w14:paraId="04B29688" w14:textId="77777777" w:rsidR="00D32B7F" w:rsidRPr="0010505B" w:rsidRDefault="00D32B7F" w:rsidP="00D32B7F">
      <w:pPr>
        <w:pStyle w:val="Listenabsatz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0505B">
        <w:rPr>
          <w:rFonts w:asciiTheme="minorHAnsi" w:hAnsiTheme="minorHAnsi" w:cstheme="minorHAnsi"/>
          <w:sz w:val="22"/>
          <w:szCs w:val="22"/>
        </w:rPr>
        <w:t>Dosis-Krankheitsverlauf-Konstellation nicht möglich aufgrund von fehlenden Daten in Fallberichten</w:t>
      </w:r>
    </w:p>
    <w:p w14:paraId="52459A26" w14:textId="4076688C" w:rsidR="00D32B7F" w:rsidRPr="0082506E" w:rsidRDefault="00D32B7F" w:rsidP="00D32B7F">
      <w:pPr>
        <w:pStyle w:val="Listenabsatz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2506E">
        <w:rPr>
          <w:rFonts w:asciiTheme="minorHAnsi" w:hAnsiTheme="minorHAnsi" w:cstheme="minorHAnsi"/>
          <w:b/>
          <w:bCs/>
          <w:sz w:val="22"/>
          <w:szCs w:val="22"/>
        </w:rPr>
        <w:t>6 Fallberichte</w:t>
      </w:r>
    </w:p>
    <w:p w14:paraId="1995A1F2" w14:textId="1C7287A6" w:rsidR="000E21F5" w:rsidRPr="000E21F5" w:rsidRDefault="000E21F5" w:rsidP="000E21F5">
      <w:pPr>
        <w:rPr>
          <w:lang w:eastAsia="de-DE"/>
        </w:rPr>
      </w:pPr>
    </w:p>
    <w:p w14:paraId="70CAB0C3" w14:textId="2AEC114B" w:rsidR="000E21F5" w:rsidRPr="000E21F5" w:rsidRDefault="000E21F5" w:rsidP="000E21F5">
      <w:pPr>
        <w:rPr>
          <w:lang w:eastAsia="de-DE"/>
        </w:rPr>
      </w:pPr>
    </w:p>
    <w:p w14:paraId="3D6025D1" w14:textId="2C9785EA" w:rsidR="000E21F5" w:rsidRDefault="000E21F5" w:rsidP="000E21F5">
      <w:pPr>
        <w:rPr>
          <w:rFonts w:eastAsia="Times New Roman" w:cstheme="minorHAnsi"/>
          <w:lang w:eastAsia="de-DE"/>
        </w:rPr>
      </w:pPr>
    </w:p>
    <w:p w14:paraId="4BF92452" w14:textId="041A5C4B" w:rsidR="000E21F5" w:rsidRDefault="000E21F5" w:rsidP="000E21F5">
      <w:pPr>
        <w:rPr>
          <w:lang w:eastAsia="de-DE"/>
        </w:rPr>
      </w:pPr>
      <w:r>
        <w:rPr>
          <w:lang w:eastAsia="de-DE"/>
        </w:rPr>
        <w:t>Weitere Datenbanken</w:t>
      </w:r>
    </w:p>
    <w:p w14:paraId="02534A72" w14:textId="7E7A42DC" w:rsidR="000E21F5" w:rsidRDefault="000E21F5" w:rsidP="000E21F5">
      <w:pPr>
        <w:pStyle w:val="Listenabsatz"/>
        <w:numPr>
          <w:ilvl w:val="0"/>
          <w:numId w:val="8"/>
        </w:numPr>
      </w:pPr>
      <w:r w:rsidRPr="000E21F5">
        <w:t>Cochrane Library</w:t>
      </w:r>
      <w:r>
        <w:t xml:space="preserve">, </w:t>
      </w:r>
      <w:proofErr w:type="spellStart"/>
      <w:r>
        <w:t>Embase</w:t>
      </w:r>
      <w:proofErr w:type="spellEnd"/>
      <w:r>
        <w:t xml:space="preserve"> </w:t>
      </w:r>
      <w:r>
        <w:sym w:font="Wingdings" w:char="F0E0"/>
      </w:r>
      <w:r>
        <w:t xml:space="preserve"> nichts zu SJS</w:t>
      </w:r>
    </w:p>
    <w:p w14:paraId="21A47544" w14:textId="77777777" w:rsidR="000E21F5" w:rsidRPr="000E21F5" w:rsidRDefault="000E21F5" w:rsidP="000E21F5">
      <w:pPr>
        <w:pStyle w:val="Listenabsatz"/>
        <w:numPr>
          <w:ilvl w:val="0"/>
          <w:numId w:val="8"/>
        </w:numPr>
      </w:pPr>
      <w:proofErr w:type="spellStart"/>
      <w:r>
        <w:t>Livivo</w:t>
      </w:r>
      <w:proofErr w:type="spellEnd"/>
    </w:p>
    <w:p w14:paraId="02D95C6A" w14:textId="7AB5F541" w:rsidR="000E21F5" w:rsidRDefault="000E21F5" w:rsidP="000E21F5">
      <w:pPr>
        <w:pStyle w:val="Listenabsatz"/>
        <w:numPr>
          <w:ilvl w:val="0"/>
          <w:numId w:val="8"/>
        </w:numPr>
      </w:pPr>
      <w:proofErr w:type="spellStart"/>
      <w:r>
        <w:t>Medline</w:t>
      </w:r>
      <w:proofErr w:type="spellEnd"/>
    </w:p>
    <w:sectPr w:rsidR="000E21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40F"/>
    <w:multiLevelType w:val="hybridMultilevel"/>
    <w:tmpl w:val="8AECEA02"/>
    <w:lvl w:ilvl="0" w:tplc="0CFED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68A6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E5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409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A8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05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EC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625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40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EE10FF"/>
    <w:multiLevelType w:val="hybridMultilevel"/>
    <w:tmpl w:val="8C02C9A0"/>
    <w:lvl w:ilvl="0" w:tplc="BC00F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3A93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63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DAD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8F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C43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1AF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4ED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49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40D6D65"/>
    <w:multiLevelType w:val="hybridMultilevel"/>
    <w:tmpl w:val="1D1C159A"/>
    <w:lvl w:ilvl="0" w:tplc="3FB6B0E0">
      <w:start w:val="34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43291"/>
    <w:multiLevelType w:val="hybridMultilevel"/>
    <w:tmpl w:val="1E060EA4"/>
    <w:lvl w:ilvl="0" w:tplc="FD9A9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2E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6CA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4E3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E2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103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B8B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6C6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B240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CB2C9E"/>
    <w:multiLevelType w:val="hybridMultilevel"/>
    <w:tmpl w:val="E2DC969A"/>
    <w:lvl w:ilvl="0" w:tplc="2EC491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 w:themeColor="text1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32FC6"/>
    <w:multiLevelType w:val="hybridMultilevel"/>
    <w:tmpl w:val="103083FC"/>
    <w:lvl w:ilvl="0" w:tplc="FB8A7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4EB8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67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9A8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3A29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B6D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4AE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221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9CD9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743208"/>
    <w:multiLevelType w:val="multilevel"/>
    <w:tmpl w:val="541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6076A40"/>
    <w:multiLevelType w:val="hybridMultilevel"/>
    <w:tmpl w:val="F25E80CE"/>
    <w:lvl w:ilvl="0" w:tplc="CD421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04DCA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8ED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2D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5005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FC3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E8A9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90C0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D22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F30DA3"/>
    <w:multiLevelType w:val="hybridMultilevel"/>
    <w:tmpl w:val="A0403CDE"/>
    <w:lvl w:ilvl="0" w:tplc="64823646">
      <w:start w:val="1"/>
      <w:numFmt w:val="bullet"/>
      <w:lvlText w:val="•"/>
      <w:lvlJc w:val="left"/>
      <w:pPr>
        <w:tabs>
          <w:tab w:val="num" w:pos="636"/>
        </w:tabs>
        <w:ind w:left="636" w:hanging="360"/>
      </w:pPr>
      <w:rPr>
        <w:rFonts w:ascii="Arial" w:hAnsi="Arial" w:hint="default"/>
      </w:rPr>
    </w:lvl>
    <w:lvl w:ilvl="1" w:tplc="AD40E4C8">
      <w:start w:val="1"/>
      <w:numFmt w:val="bullet"/>
      <w:lvlText w:val="•"/>
      <w:lvlJc w:val="left"/>
      <w:pPr>
        <w:tabs>
          <w:tab w:val="num" w:pos="1356"/>
        </w:tabs>
        <w:ind w:left="1356" w:hanging="360"/>
      </w:pPr>
      <w:rPr>
        <w:rFonts w:ascii="Arial" w:hAnsi="Arial" w:hint="default"/>
      </w:rPr>
    </w:lvl>
    <w:lvl w:ilvl="2" w:tplc="8ACC5D34" w:tentative="1">
      <w:start w:val="1"/>
      <w:numFmt w:val="bullet"/>
      <w:lvlText w:val="•"/>
      <w:lvlJc w:val="left"/>
      <w:pPr>
        <w:tabs>
          <w:tab w:val="num" w:pos="2076"/>
        </w:tabs>
        <w:ind w:left="2076" w:hanging="360"/>
      </w:pPr>
      <w:rPr>
        <w:rFonts w:ascii="Arial" w:hAnsi="Arial" w:hint="default"/>
      </w:rPr>
    </w:lvl>
    <w:lvl w:ilvl="3" w:tplc="050E3BBC" w:tentative="1">
      <w:start w:val="1"/>
      <w:numFmt w:val="bullet"/>
      <w:lvlText w:val="•"/>
      <w:lvlJc w:val="left"/>
      <w:pPr>
        <w:tabs>
          <w:tab w:val="num" w:pos="2796"/>
        </w:tabs>
        <w:ind w:left="2796" w:hanging="360"/>
      </w:pPr>
      <w:rPr>
        <w:rFonts w:ascii="Arial" w:hAnsi="Arial" w:hint="default"/>
      </w:rPr>
    </w:lvl>
    <w:lvl w:ilvl="4" w:tplc="254AED40" w:tentative="1">
      <w:start w:val="1"/>
      <w:numFmt w:val="bullet"/>
      <w:lvlText w:val="•"/>
      <w:lvlJc w:val="left"/>
      <w:pPr>
        <w:tabs>
          <w:tab w:val="num" w:pos="3516"/>
        </w:tabs>
        <w:ind w:left="3516" w:hanging="360"/>
      </w:pPr>
      <w:rPr>
        <w:rFonts w:ascii="Arial" w:hAnsi="Arial" w:hint="default"/>
      </w:rPr>
    </w:lvl>
    <w:lvl w:ilvl="5" w:tplc="484AD5DE" w:tentative="1">
      <w:start w:val="1"/>
      <w:numFmt w:val="bullet"/>
      <w:lvlText w:val="•"/>
      <w:lvlJc w:val="left"/>
      <w:pPr>
        <w:tabs>
          <w:tab w:val="num" w:pos="4236"/>
        </w:tabs>
        <w:ind w:left="4236" w:hanging="360"/>
      </w:pPr>
      <w:rPr>
        <w:rFonts w:ascii="Arial" w:hAnsi="Arial" w:hint="default"/>
      </w:rPr>
    </w:lvl>
    <w:lvl w:ilvl="6" w:tplc="56FC5FBE" w:tentative="1">
      <w:start w:val="1"/>
      <w:numFmt w:val="bullet"/>
      <w:lvlText w:val="•"/>
      <w:lvlJc w:val="left"/>
      <w:pPr>
        <w:tabs>
          <w:tab w:val="num" w:pos="4956"/>
        </w:tabs>
        <w:ind w:left="4956" w:hanging="360"/>
      </w:pPr>
      <w:rPr>
        <w:rFonts w:ascii="Arial" w:hAnsi="Arial" w:hint="default"/>
      </w:rPr>
    </w:lvl>
    <w:lvl w:ilvl="7" w:tplc="90EC3DC6" w:tentative="1">
      <w:start w:val="1"/>
      <w:numFmt w:val="bullet"/>
      <w:lvlText w:val="•"/>
      <w:lvlJc w:val="left"/>
      <w:pPr>
        <w:tabs>
          <w:tab w:val="num" w:pos="5676"/>
        </w:tabs>
        <w:ind w:left="5676" w:hanging="360"/>
      </w:pPr>
      <w:rPr>
        <w:rFonts w:ascii="Arial" w:hAnsi="Arial" w:hint="default"/>
      </w:rPr>
    </w:lvl>
    <w:lvl w:ilvl="8" w:tplc="306E3DF2" w:tentative="1">
      <w:start w:val="1"/>
      <w:numFmt w:val="bullet"/>
      <w:lvlText w:val="•"/>
      <w:lvlJc w:val="left"/>
      <w:pPr>
        <w:tabs>
          <w:tab w:val="num" w:pos="6396"/>
        </w:tabs>
        <w:ind w:left="6396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5F"/>
    <w:rsid w:val="0004235F"/>
    <w:rsid w:val="00047C6F"/>
    <w:rsid w:val="000E21F5"/>
    <w:rsid w:val="0010505B"/>
    <w:rsid w:val="001500D1"/>
    <w:rsid w:val="001C39AB"/>
    <w:rsid w:val="002C4F79"/>
    <w:rsid w:val="00351173"/>
    <w:rsid w:val="00501FAC"/>
    <w:rsid w:val="005933FB"/>
    <w:rsid w:val="005F3234"/>
    <w:rsid w:val="006103B1"/>
    <w:rsid w:val="00623E70"/>
    <w:rsid w:val="00685CCD"/>
    <w:rsid w:val="006A304C"/>
    <w:rsid w:val="00781313"/>
    <w:rsid w:val="0082506E"/>
    <w:rsid w:val="008C3FDA"/>
    <w:rsid w:val="008D27A7"/>
    <w:rsid w:val="00B074CA"/>
    <w:rsid w:val="00D07D88"/>
    <w:rsid w:val="00D32B7F"/>
    <w:rsid w:val="00D71FFD"/>
    <w:rsid w:val="00D742F2"/>
    <w:rsid w:val="00DD57C0"/>
    <w:rsid w:val="00E745A9"/>
    <w:rsid w:val="00ED2532"/>
    <w:rsid w:val="00ED26A1"/>
    <w:rsid w:val="00F1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D5F3"/>
  <w15:chartTrackingRefBased/>
  <w15:docId w15:val="{E63ED310-8E0F-4D4E-B05C-235AACBF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423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10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1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2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6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8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6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9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3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0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5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0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10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84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9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3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0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66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0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9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7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45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4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12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46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2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5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13</cp:revision>
  <dcterms:created xsi:type="dcterms:W3CDTF">2021-08-29T07:05:00Z</dcterms:created>
  <dcterms:modified xsi:type="dcterms:W3CDTF">2021-08-30T21:50:00Z</dcterms:modified>
</cp:coreProperties>
</file>