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technical design for automating inventory synchronization between warehouse management systems and the central inventory database. This change will enable real-time stock visibility across all distribution centers and retail locations.</w:t>
      </w:r>
    </w:p>
    <w:p>
      <w:pPr>
        <w:pStyle w:val="Heading2"/>
      </w:pPr>
      <w:r>
        <w:t>1.2 References</w:t>
      </w:r>
    </w:p>
    <w:p>
      <w:r>
        <w:t>- PRJ-10051 Project Charter</w:t>
        <w:br/>
        <w:t>- INV-2026 - Inventory Sync Real-Time Initiative</w:t>
        <w:br/>
        <w:t>- WMS Integration Specification v3.2</w:t>
      </w:r>
    </w:p>
    <w:p>
      <w:pPr>
        <w:pStyle w:val="Heading2"/>
      </w:pPr>
      <w:r>
        <w:t>1.3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WMS</w:t>
            </w:r>
          </w:p>
        </w:tc>
        <w:tc>
          <w:tcPr>
            <w:tcW w:type="dxa" w:w="4320"/>
          </w:tcPr>
          <w:p>
            <w:r>
              <w:t>Warehouse Management System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Stock Keeping Unit</w:t>
            </w:r>
          </w:p>
        </w:tc>
      </w:tr>
      <w:tr>
        <w:tc>
          <w:tcPr>
            <w:tcW w:type="dxa" w:w="4320"/>
          </w:tcPr>
          <w:p>
            <w:r>
              <w:t>DC</w:t>
            </w:r>
          </w:p>
        </w:tc>
        <w:tc>
          <w:tcPr>
            <w:tcW w:type="dxa" w:w="4320"/>
          </w:tcPr>
          <w:p>
            <w:r>
              <w:t>Distribution Center</w:t>
            </w:r>
          </w:p>
        </w:tc>
      </w:tr>
      <w:tr>
        <w:tc>
          <w:tcPr>
            <w:tcW w:type="dxa" w:w="4320"/>
          </w:tcPr>
          <w:p>
            <w:r>
              <w:t>ATP</w:t>
            </w:r>
          </w:p>
        </w:tc>
        <w:tc>
          <w:tcPr>
            <w:tcW w:type="dxa" w:w="4320"/>
          </w:tcPr>
          <w:p>
            <w:r>
              <w:t>Available to Promise</w:t>
            </w:r>
          </w:p>
        </w:tc>
      </w:tr>
      <w:tr>
        <w:tc>
          <w:tcPr>
            <w:tcW w:type="dxa" w:w="4320"/>
          </w:tcPr>
          <w:p>
            <w:r>
              <w:t>SOH</w:t>
            </w:r>
          </w:p>
        </w:tc>
        <w:tc>
          <w:tcPr>
            <w:tcW w:type="dxa" w:w="4320"/>
          </w:tcPr>
          <w:p>
            <w:r>
              <w:t>Stock on Hand</w:t>
            </w:r>
          </w:p>
        </w:tc>
      </w:tr>
    </w:tbl>
    <w:p>
      <w:pPr>
        <w:pStyle w:val="Heading2"/>
      </w:pPr>
      <w:r>
        <w:t>1.4 Scope</w:t>
      </w:r>
    </w:p>
    <w:p>
      <w:r>
        <w:t>The scope includes:</w:t>
        <w:br/>
        <w:t>- Real-time inventory updates from warehouse scanners</w:t>
        <w:br/>
        <w:t>- Bi-directional sync between WMS and central inventory</w:t>
        <w:br/>
        <w:t>- Automated reconciliation jobs for daily variance detection</w:t>
        <w:br/>
        <w:t>- Alert generation for stock level thresholds</w:t>
      </w:r>
    </w:p>
    <w:p>
      <w:pPr>
        <w:pStyle w:val="Heading2"/>
      </w:pPr>
      <w:r>
        <w:t>1.5 Assumptions &amp; Dependencies</w:t>
      </w:r>
    </w:p>
    <w:p>
      <w:r>
        <w:t>- All warehouses have upgraded to WMS version 4.5+</w:t>
        <w:br/>
        <w:t>- Network connectivity supports real-time messaging</w:t>
        <w:br/>
        <w:t>- Barcode scanner firmware is current</w:t>
      </w:r>
    </w:p>
    <w:p>
      <w:pPr>
        <w:pStyle w:val="Heading2"/>
      </w:pPr>
      <w:r>
        <w:t>1.6 Design Standards and Principles</w:t>
      </w:r>
    </w:p>
    <w:p>
      <w:r>
        <w:t>- Follow existing inventory transaction patterns</w:t>
        <w:br/>
        <w:t>- Maintain backward compatibility with legacy systems</w:t>
        <w:br/>
        <w:t>- Use message queue for async processing</w:t>
      </w:r>
    </w:p>
    <w:p>
      <w:pPr>
        <w:pStyle w:val="Heading2"/>
      </w:pPr>
      <w:r>
        <w:t>1.7 Data Migration</w:t>
      </w:r>
    </w:p>
    <w:p>
      <w:r>
        <w:t>NA</w:t>
      </w:r>
    </w:p>
    <w:p>
      <w:pPr>
        <w:pStyle w:val="Heading1"/>
      </w:pPr>
      <w:r>
        <w:t>2. DESIGN OVERVIEW</w:t>
      </w:r>
    </w:p>
    <w:p>
      <w:pPr>
        <w:pStyle w:val="Heading2"/>
      </w:pPr>
      <w:r>
        <w:t>2.1 Module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 Name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 Type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New/Existing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Component/Change Description</w:t>
            </w:r>
          </w:p>
        </w:tc>
      </w:tr>
      <w:tr>
        <w:tc>
          <w:tcPr>
            <w:tcW w:type="dxa" w:w="1728"/>
          </w:tcPr>
          <w:p>
            <w:r>
              <w:t>INV</w:t>
            </w:r>
          </w:p>
        </w:tc>
        <w:tc>
          <w:tcPr>
            <w:tcW w:type="dxa" w:w="1728"/>
          </w:tcPr>
          <w:p>
            <w:r>
              <w:t>SVC4010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Real-time inventory event processor</w:t>
            </w:r>
          </w:p>
        </w:tc>
      </w:tr>
      <w:tr>
        <w:tc>
          <w:tcPr>
            <w:tcW w:type="dxa" w:w="1728"/>
          </w:tcPr>
          <w:p>
            <w:r>
              <w:t>INV</w:t>
            </w:r>
          </w:p>
        </w:tc>
        <w:tc>
          <w:tcPr>
            <w:tcW w:type="dxa" w:w="1728"/>
          </w:tcPr>
          <w:p>
            <w:r>
              <w:t>SVC4011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Stock level calculation engine</w:t>
            </w:r>
          </w:p>
        </w:tc>
      </w:tr>
      <w:tr>
        <w:tc>
          <w:tcPr>
            <w:tcW w:type="dxa" w:w="1728"/>
          </w:tcPr>
          <w:p>
            <w:r>
              <w:t>INV</w:t>
            </w:r>
          </w:p>
        </w:tc>
        <w:tc>
          <w:tcPr>
            <w:tcW w:type="dxa" w:w="1728"/>
          </w:tcPr>
          <w:p>
            <w:r>
              <w:t>SVC4012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Variance detection and alerting</w:t>
            </w:r>
          </w:p>
        </w:tc>
      </w:tr>
      <w:tr>
        <w:tc>
          <w:tcPr>
            <w:tcW w:type="dxa" w:w="1728"/>
          </w:tcPr>
          <w:p>
            <w:r>
              <w:t>INV</w:t>
            </w:r>
          </w:p>
        </w:tc>
        <w:tc>
          <w:tcPr>
            <w:tcW w:type="dxa" w:w="1728"/>
          </w:tcPr>
          <w:p>
            <w:r>
              <w:t>BTH4010</w:t>
            </w:r>
          </w:p>
        </w:tc>
        <w:tc>
          <w:tcPr>
            <w:tcW w:type="dxa" w:w="1728"/>
          </w:tcPr>
          <w:p>
            <w:r>
              <w:t>Batch Job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Daily inventory reconciliation</w:t>
            </w:r>
          </w:p>
        </w:tc>
      </w:tr>
      <w:tr>
        <w:tc>
          <w:tcPr>
            <w:tcW w:type="dxa" w:w="1728"/>
          </w:tcPr>
          <w:p>
            <w:r>
              <w:t>INV</w:t>
            </w:r>
          </w:p>
        </w:tc>
        <w:tc>
          <w:tcPr>
            <w:tcW w:type="dxa" w:w="1728"/>
          </w:tcPr>
          <w:p>
            <w:r>
              <w:t>CFG4010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Threshold configuration for alerts</w:t>
            </w:r>
          </w:p>
        </w:tc>
      </w:tr>
      <w:tr>
        <w:tc>
          <w:tcPr>
            <w:tcW w:type="dxa" w:w="1728"/>
          </w:tcPr>
          <w:p>
            <w:r>
              <w:t>INV</w:t>
            </w:r>
          </w:p>
        </w:tc>
        <w:tc>
          <w:tcPr>
            <w:tcW w:type="dxa" w:w="1728"/>
          </w:tcPr>
          <w:p>
            <w:r>
              <w:t>CFG4011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DC mapping configuration</w:t>
            </w:r>
          </w:p>
        </w:tc>
      </w:tr>
      <w:tr>
        <w:tc>
          <w:tcPr>
            <w:tcW w:type="dxa" w:w="1728"/>
          </w:tcPr>
          <w:p>
            <w:r>
              <w:t>INV</w:t>
            </w:r>
          </w:p>
        </w:tc>
        <w:tc>
          <w:tcPr>
            <w:tcW w:type="dxa" w:w="1728"/>
          </w:tcPr>
          <w:p>
            <w:r>
              <w:t>TBL_INV_TRANS</w:t>
            </w:r>
          </w:p>
        </w:tc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Inventory transaction history table</w:t>
            </w:r>
          </w:p>
        </w:tc>
      </w:tr>
      <w:tr>
        <w:tc>
          <w:tcPr>
            <w:tcW w:type="dxa" w:w="1728"/>
          </w:tcPr>
          <w:p>
            <w:r>
              <w:t>WMS</w:t>
            </w:r>
          </w:p>
        </w:tc>
        <w:tc>
          <w:tcPr>
            <w:tcW w:type="dxa" w:w="1728"/>
          </w:tcPr>
          <w:p>
            <w:r>
              <w:t>WMS_ADAPTER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WMS integration adapter</w:t>
            </w:r>
          </w:p>
        </w:tc>
      </w:tr>
      <w:tr>
        <w:tc>
          <w:tcPr>
            <w:tcW w:type="dxa" w:w="1728"/>
          </w:tcPr>
          <w:p>
            <w:r>
              <w:t>WMS</w:t>
            </w:r>
          </w:p>
        </w:tc>
        <w:tc>
          <w:tcPr>
            <w:tcW w:type="dxa" w:w="1728"/>
          </w:tcPr>
          <w:p>
            <w:r>
              <w:t>MSG_HANDLER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Message queue handler for WMS events</w:t>
            </w:r>
          </w:p>
        </w:tc>
      </w:tr>
      <w:tr>
        <w:tc>
          <w:tcPr>
            <w:tcW w:type="dxa" w:w="1728"/>
          </w:tcPr>
          <w:p>
            <w:r>
              <w:t>RPT</w:t>
            </w:r>
          </w:p>
        </w:tc>
        <w:tc>
          <w:tcPr>
            <w:tcW w:type="dxa" w:w="1728"/>
          </w:tcPr>
          <w:p>
            <w:r>
              <w:t>RPT4010</w:t>
            </w:r>
          </w:p>
        </w:tc>
        <w:tc>
          <w:tcPr>
            <w:tcW w:type="dxa" w:w="1728"/>
          </w:tcPr>
          <w:p>
            <w:r>
              <w:t>Report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Daily stock variance report</w:t>
            </w:r>
          </w:p>
        </w:tc>
      </w:tr>
      <w:tr>
        <w:tc>
          <w:tcPr>
            <w:tcW w:type="dxa" w:w="1728"/>
          </w:tcPr>
          <w:p>
            <w:r>
              <w:t>RPT</w:t>
            </w:r>
          </w:p>
        </w:tc>
        <w:tc>
          <w:tcPr>
            <w:tcW w:type="dxa" w:w="1728"/>
          </w:tcPr>
          <w:p>
            <w:r>
              <w:t>RPT4011</w:t>
            </w:r>
          </w:p>
        </w:tc>
        <w:tc>
          <w:tcPr>
            <w:tcW w:type="dxa" w:w="1728"/>
          </w:tcPr>
          <w:p>
            <w:r>
              <w:t>Report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Real-time inventory dashboard feed</w:t>
            </w:r>
          </w:p>
        </w:tc>
      </w:tr>
    </w:tbl>
    <w:p>
      <w:pPr>
        <w:pStyle w:val="Heading2"/>
      </w:pPr>
      <w:r>
        <w:t>2.2 Modules Interaction Flow</w:t>
      </w:r>
    </w:p>
    <w:p>
      <w:r>
        <w:t>WMS Scanner → MSG_HANDLER → SVC4010 → SVC4011 → TBL_INV_TRANS → RPT4011</w:t>
      </w:r>
    </w:p>
    <w:p>
      <w:pPr>
        <w:pStyle w:val="Heading2"/>
      </w:pPr>
      <w:r>
        <w:t>2.3 Key Design Decisions</w:t>
      </w:r>
    </w:p>
    <w:p>
      <w:r>
        <w:t>Event Processing Architecture:</w:t>
        <w:br/>
        <w:t>- Use Apache Kafka for message queuing</w:t>
        <w:br/>
        <w:t>- Partition by warehouse ID for ordered processing</w:t>
        <w:br/>
        <w:t>- Consumer group per processing type</w:t>
        <w:br/>
        <w:br/>
        <w:t>Stock Calculation Logic:</w:t>
        <w:br/>
        <w:t>- SOH = Opening Balance + Receipts - Issues - Adjustments</w:t>
        <w:br/>
        <w:t>- ATP = SOH - Reserved - In-Transit Outbound</w:t>
        <w:br/>
        <w:t>- Safety Stock threshold configurable per SKU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Event Type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RECV</w:t>
            </w:r>
          </w:p>
        </w:tc>
        <w:tc>
          <w:tcPr>
            <w:tcW w:type="dxa" w:w="2880"/>
          </w:tcPr>
          <w:p>
            <w:r>
              <w:t>RCV01</w:t>
            </w:r>
          </w:p>
        </w:tc>
        <w:tc>
          <w:tcPr>
            <w:tcW w:type="dxa" w:w="2880"/>
          </w:tcPr>
          <w:p>
            <w:r>
              <w:t>Goods receipt from supplier</w:t>
            </w:r>
          </w:p>
        </w:tc>
      </w:tr>
      <w:tr>
        <w:tc>
          <w:tcPr>
            <w:tcW w:type="dxa" w:w="2880"/>
          </w:tcPr>
          <w:p>
            <w:r>
              <w:t>SHIP</w:t>
            </w:r>
          </w:p>
        </w:tc>
        <w:tc>
          <w:tcPr>
            <w:tcW w:type="dxa" w:w="2880"/>
          </w:tcPr>
          <w:p>
            <w:r>
              <w:t>SHP01</w:t>
            </w:r>
          </w:p>
        </w:tc>
        <w:tc>
          <w:tcPr>
            <w:tcW w:type="dxa" w:w="2880"/>
          </w:tcPr>
          <w:p>
            <w:r>
              <w:t>Shipment to store/customer</w:t>
            </w:r>
          </w:p>
        </w:tc>
      </w:tr>
      <w:tr>
        <w:tc>
          <w:tcPr>
            <w:tcW w:type="dxa" w:w="2880"/>
          </w:tcPr>
          <w:p>
            <w:r>
              <w:t>ADJP</w:t>
            </w:r>
          </w:p>
        </w:tc>
        <w:tc>
          <w:tcPr>
            <w:tcW w:type="dxa" w:w="2880"/>
          </w:tcPr>
          <w:p>
            <w:r>
              <w:t>ADJ01</w:t>
            </w:r>
          </w:p>
        </w:tc>
        <w:tc>
          <w:tcPr>
            <w:tcW w:type="dxa" w:w="2880"/>
          </w:tcPr>
          <w:p>
            <w:r>
              <w:t>Positive adjustment</w:t>
            </w:r>
          </w:p>
        </w:tc>
      </w:tr>
      <w:tr>
        <w:tc>
          <w:tcPr>
            <w:tcW w:type="dxa" w:w="2880"/>
          </w:tcPr>
          <w:p>
            <w:r>
              <w:t>ADJN</w:t>
            </w:r>
          </w:p>
        </w:tc>
        <w:tc>
          <w:tcPr>
            <w:tcW w:type="dxa" w:w="2880"/>
          </w:tcPr>
          <w:p>
            <w:r>
              <w:t>ADJ02</w:t>
            </w:r>
          </w:p>
        </w:tc>
        <w:tc>
          <w:tcPr>
            <w:tcW w:type="dxa" w:w="2880"/>
          </w:tcPr>
          <w:p>
            <w:r>
              <w:t>Negative adjustment</w:t>
            </w:r>
          </w:p>
        </w:tc>
      </w:tr>
      <w:tr>
        <w:tc>
          <w:tcPr>
            <w:tcW w:type="dxa" w:w="2880"/>
          </w:tcPr>
          <w:p>
            <w:r>
              <w:t>TRIN</w:t>
            </w:r>
          </w:p>
        </w:tc>
        <w:tc>
          <w:tcPr>
            <w:tcW w:type="dxa" w:w="2880"/>
          </w:tcPr>
          <w:p>
            <w:r>
              <w:t>TRN01</w:t>
            </w:r>
          </w:p>
        </w:tc>
        <w:tc>
          <w:tcPr>
            <w:tcW w:type="dxa" w:w="2880"/>
          </w:tcPr>
          <w:p>
            <w:r>
              <w:t>Transfer in from another DC</w:t>
            </w:r>
          </w:p>
        </w:tc>
      </w:tr>
      <w:tr>
        <w:tc>
          <w:tcPr>
            <w:tcW w:type="dxa" w:w="2880"/>
          </w:tcPr>
          <w:p>
            <w:r>
              <w:t>TROUT</w:t>
            </w:r>
          </w:p>
        </w:tc>
        <w:tc>
          <w:tcPr>
            <w:tcW w:type="dxa" w:w="2880"/>
          </w:tcPr>
          <w:p>
            <w:r>
              <w:t>TRN02</w:t>
            </w:r>
          </w:p>
        </w:tc>
        <w:tc>
          <w:tcPr>
            <w:tcW w:type="dxa" w:w="2880"/>
          </w:tcPr>
          <w:p>
            <w:r>
              <w:t>Transfer out to another DC</w:t>
            </w:r>
          </w:p>
        </w:tc>
      </w:tr>
    </w:tbl>
    <w:p>
      <w:pPr>
        <w:pStyle w:val="Heading2"/>
      </w:pPr>
      <w:r>
        <w:t>2.4 Design Patterns and Frameworks</w:t>
      </w:r>
    </w:p>
    <w:p>
      <w:r>
        <w:t>- Event Sourcing for inventory transactions</w:t>
        <w:br/>
        <w:t>- CQRS for read/write separation</w:t>
        <w:br/>
        <w:t>- Circuit Breaker for WMS connectivity</w:t>
      </w:r>
    </w:p>
    <w:p>
      <w:pPr>
        <w:pStyle w:val="Heading2"/>
      </w:pPr>
      <w:r>
        <w:t>2.5 Risks and Issues</w:t>
      </w:r>
    </w:p>
    <w:p>
      <w:r>
        <w:t>- High message volume during peak receiving hours</w:t>
        <w:br/>
        <w:t>- Network latency between remote DCs</w:t>
        <w:br/>
        <w:t>- WMS version compatibility across locations</w:t>
      </w:r>
    </w:p>
    <w:p>
      <w:pPr>
        <w:pStyle w:val="Heading1"/>
      </w:pPr>
      <w:r>
        <w:t>3. MODULE TECHNICAL DESIGN</w:t>
      </w:r>
    </w:p>
    <w:p>
      <w:pPr>
        <w:pStyle w:val="Heading2"/>
      </w:pPr>
      <w:r>
        <w:t>3.1 Existing Source Module changes</w:t>
      </w:r>
    </w:p>
    <w:p>
      <w:r>
        <w:t>SVC4010 (Java):</w:t>
      </w:r>
    </w:p>
    <w:p>
      <w:pPr>
        <w:ind w:left="720" w:right="720"/>
      </w:pPr>
      <w:r>
        <w:rPr>
          <w:rFonts w:ascii="Courier New" w:hAnsi="Courier New"/>
          <w:sz w:val="18"/>
        </w:rPr>
        <w:t>@Service</w:t>
        <w:br/>
        <w:t>public class InventoryEventProcessor {</w:t>
        <w:br/>
        <w:br/>
        <w:t xml:space="preserve">    @KafkaListener(topics = "inventory-events")</w:t>
        <w:br/>
        <w:t xml:space="preserve">    public void processEvent(InventoryEvent event) {</w:t>
        <w:br/>
        <w:t xml:space="preserve">        if (event.getType().equals("RCV01") ||</w:t>
        <w:br/>
        <w:t xml:space="preserve">            event.getType().equals("SHP01")) {</w:t>
        <w:br/>
        <w:br/>
        <w:t xml:space="preserve">            StockLevel current = stockRepository</w:t>
        <w:br/>
        <w:t xml:space="preserve">                .findBySkuAndWarehouse(</w:t>
        <w:br/>
        <w:t xml:space="preserve">                    event.getSku(),</w:t>
        <w:br/>
        <w:t xml:space="preserve">                    event.getWarehouseId());</w:t>
        <w:br/>
        <w:br/>
        <w:t xml:space="preserve">            if (event.isReceipt()) {</w:t>
        <w:br/>
        <w:t xml:space="preserve">                current.addQuantity(event.getQuantity());</w:t>
        <w:br/>
        <w:t xml:space="preserve">            } else {</w:t>
        <w:br/>
        <w:t xml:space="preserve">                current.subtractQuantity(event.getQuantity());</w:t>
        <w:br/>
        <w:t xml:space="preserve">            }</w:t>
        <w:br/>
        <w:br/>
        <w:t xml:space="preserve">            stockRepository.save(current);</w:t>
        <w:br/>
        <w:t xml:space="preserve">            publishStockUpdate(current);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3.2 Service Flow</w:t>
      </w:r>
    </w:p>
    <w:p>
      <w:r>
        <w:t>MSG_HANDLER → SVC4010 (Processing) → SVC4011 (Calculation) → Database</w:t>
      </w:r>
    </w:p>
    <w:p>
      <w:pPr>
        <w:pStyle w:val="Heading1"/>
      </w:pPr>
      <w:r>
        <w:t>4. BATCH PROCESSING</w:t>
      </w:r>
    </w:p>
    <w:p>
      <w:pPr>
        <w:pStyle w:val="Heading2"/>
      </w:pPr>
      <w:r>
        <w:t>4.1 Batch/Job Scheduling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JOB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Scheduling</w:t>
            </w:r>
          </w:p>
        </w:tc>
      </w:tr>
      <w:tr>
        <w:tc>
          <w:tcPr>
            <w:tcW w:type="dxa" w:w="4320"/>
          </w:tcPr>
          <w:p>
            <w:r>
              <w:t>BTH4010_RECON</w:t>
            </w:r>
          </w:p>
        </w:tc>
        <w:tc>
          <w:tcPr>
            <w:tcW w:type="dxa" w:w="4320"/>
          </w:tcPr>
          <w:p>
            <w:r>
              <w:t>Daily 02:00 AM. Runs after WMS day-end close</w:t>
            </w:r>
          </w:p>
        </w:tc>
      </w:tr>
      <w:tr>
        <w:tc>
          <w:tcPr>
            <w:tcW w:type="dxa" w:w="4320"/>
          </w:tcPr>
          <w:p>
            <w:r>
              <w:t>BTH4011_ALERT</w:t>
            </w:r>
          </w:p>
        </w:tc>
        <w:tc>
          <w:tcPr>
            <w:tcW w:type="dxa" w:w="4320"/>
          </w:tcPr>
          <w:p>
            <w:r>
              <w:t>Every 15 minutes. Stock threshold monitoring</w:t>
            </w:r>
          </w:p>
        </w:tc>
      </w:tr>
      <w:tr>
        <w:tc>
          <w:tcPr>
            <w:tcW w:type="dxa" w:w="4320"/>
          </w:tcPr>
          <w:p>
            <w:r>
              <w:t>BTH4012_ARCHIVE</w:t>
            </w:r>
          </w:p>
        </w:tc>
        <w:tc>
          <w:tcPr>
            <w:tcW w:type="dxa" w:w="4320"/>
          </w:tcPr>
          <w:p>
            <w:r>
              <w:t>Daily 04:00 AM. Archive processed transactions</w:t>
            </w:r>
          </w:p>
        </w:tc>
      </w:tr>
      <w:tr>
        <w:tc>
          <w:tcPr>
            <w:tcW w:type="dxa" w:w="4320"/>
          </w:tcPr>
          <w:p>
            <w:r>
              <w:t>BTH4013_REPORT</w:t>
            </w:r>
          </w:p>
        </w:tc>
        <w:tc>
          <w:tcPr>
            <w:tcW w:type="dxa" w:w="4320"/>
          </w:tcPr>
          <w:p>
            <w:r>
              <w:t>Daily 06:00 AM. Generate variance reports</w:t>
            </w:r>
          </w:p>
        </w:tc>
      </w:tr>
      <w:tr>
        <w:tc>
          <w:tcPr>
            <w:tcW w:type="dxa" w:w="4320"/>
          </w:tcPr>
          <w:p>
            <w:r>
              <w:t>BTH4014_SYNC</w:t>
            </w:r>
          </w:p>
        </w:tc>
        <w:tc>
          <w:tcPr>
            <w:tcW w:type="dxa" w:w="4320"/>
          </w:tcPr>
          <w:p>
            <w:r>
              <w:t>Hourly. Full sync verification</w:t>
            </w:r>
          </w:p>
        </w:tc>
      </w:tr>
    </w:tbl>
    <w:p>
      <w:pPr>
        <w:pStyle w:val="Heading1"/>
      </w:pPr>
      <w:r>
        <w:t>5. REPORTING</w:t>
      </w:r>
    </w:p>
    <w:p>
      <w:r>
        <w:t>Daily Reports:</w:t>
        <w:br/>
        <w:t>- Inventory Variance Report: Distributed to DC managers</w:t>
        <w:br/>
        <w:t>- Stock Summary Report: Distributed to inventory planners</w:t>
        <w:br/>
        <w:t>- Alert Summary: Distributed to operations team</w:t>
      </w:r>
    </w:p>
    <w:p>
      <w:pPr>
        <w:pStyle w:val="Heading1"/>
      </w:pPr>
      <w:r>
        <w:t>6. COMPONENT INVENTORY</w:t>
      </w:r>
    </w:p>
    <w:p>
      <w:pPr>
        <w:pStyle w:val="Heading2"/>
      </w:pPr>
      <w:r>
        <w:t>6.1 Component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Components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New/Existing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Code changes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SVC4010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Event processor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SVC4011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Stock calculator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SVC4012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Alert generator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BTH4010</w:t>
            </w:r>
          </w:p>
        </w:tc>
        <w:tc>
          <w:tcPr>
            <w:tcW w:type="dxa" w:w="1728"/>
          </w:tcPr>
          <w:p>
            <w:r>
              <w:t>Batch Job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Reconciliation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WMS_ADAPTER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WMS integration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MSG_HANDLER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Kafka consumer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TBL_INV_TRANS</w:t>
            </w:r>
          </w:p>
        </w:tc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Transaction table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CFG4010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Alert thresholds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CFG4011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DC mappings</w:t>
            </w:r>
          </w:p>
        </w:tc>
      </w:tr>
    </w:tbl>
    <w:p>
      <w:pPr>
        <w:pStyle w:val="Heading1"/>
      </w:pPr>
      <w:r>
        <w:t>7. DATASTORE / DATABASE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Database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Schema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Change Description</w:t>
            </w:r>
          </w:p>
        </w:tc>
      </w:tr>
      <w:tr>
        <w:tc>
          <w:tcPr>
            <w:tcW w:type="dxa" w:w="2880"/>
          </w:tcPr>
          <w:p>
            <w:r>
              <w:t>INVDB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New table TBL_INV_TRANS for transaction history</w:t>
            </w:r>
          </w:p>
        </w:tc>
      </w:tr>
      <w:tr>
        <w:tc>
          <w:tcPr>
            <w:tcW w:type="dxa" w:w="2880"/>
          </w:tcPr>
          <w:p>
            <w:r>
              <w:t>INVDB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New table TBL_STOCK_LEVEL for current stock</w:t>
            </w:r>
          </w:p>
        </w:tc>
      </w:tr>
      <w:tr>
        <w:tc>
          <w:tcPr>
            <w:tcW w:type="dxa" w:w="2880"/>
          </w:tcPr>
          <w:p>
            <w:r>
              <w:t>INVDB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New table TBL_ALERT_LOG for alert history</w:t>
            </w:r>
          </w:p>
        </w:tc>
      </w:tr>
      <w:tr>
        <w:tc>
          <w:tcPr>
            <w:tcW w:type="dxa" w:w="2880"/>
          </w:tcPr>
          <w:p>
            <w:r>
              <w:t>CONFIGDB</w:t>
            </w:r>
          </w:p>
        </w:tc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New entries for threshold configuration</w:t>
            </w:r>
          </w:p>
        </w:tc>
      </w:tr>
    </w:tbl>
    <w:p>
      <w:pPr>
        <w:pStyle w:val="Heading1"/>
      </w:pPr>
      <w:r>
        <w:t>8. SECURITY</w:t>
      </w:r>
    </w:p>
    <w:p>
      <w:r>
        <w:t>- Service accounts for WMS integration</w:t>
        <w:br/>
        <w:t>- API keys for external system access</w:t>
        <w:br/>
        <w:t>- Role-based access for variance approval</w:t>
      </w:r>
    </w:p>
    <w:p>
      <w:pPr>
        <w:pStyle w:val="Heading1"/>
      </w:pPr>
      <w:r>
        <w:t>9. DEPLOYMENT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Change Request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Test Phase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Package</w:t>
            </w:r>
          </w:p>
        </w:tc>
      </w:tr>
      <w:tr>
        <w:tc>
          <w:tcPr>
            <w:tcW w:type="dxa" w:w="1728"/>
          </w:tcPr>
          <w:p>
            <w:r>
              <w:t>PRJ-10051 Inventory Sync</w:t>
            </w:r>
          </w:p>
        </w:tc>
        <w:tc>
          <w:tcPr>
            <w:tcW w:type="dxa" w:w="1728"/>
          </w:tcPr>
          <w:p>
            <w:r>
              <w:t>CR-78901</w:t>
            </w:r>
          </w:p>
        </w:tc>
        <w:tc>
          <w:tcPr>
            <w:tcW w:type="dxa" w:w="1728"/>
          </w:tcPr>
          <w:p>
            <w:r>
              <w:t>All DCs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inv-sync-1.0.0</w:t>
            </w:r>
          </w:p>
        </w:tc>
      </w:tr>
    </w:tbl>
    <w:p>
      <w:pPr>
        <w:pStyle w:val="Heading1"/>
      </w:pPr>
      <w:r>
        <w:t>10. APPROVALS</w:t>
      </w:r>
    </w:p>
    <w:p>
      <w:r>
        <w:t>This document should be approved by impacted stakeholders to be designated by the Project Manager and/or Solution Architect.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NorthStar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365D"/>
        <w:sz w:val="28"/>
      </w:rPr>
      <w:t>NorthStar Retail Solutions</w:t>
    </w:r>
  </w:p>
  <w:p>
    <w:pPr>
      <w:jc w:val="center"/>
    </w:pPr>
    <w:r>
      <w:rPr>
        <w:sz w:val="24"/>
      </w:rPr>
      <w:t>TDD_PRJ-10051_Inventory_Sync_Automation</w:t>
    </w:r>
  </w:p>
  <w:p>
    <w:pPr>
      <w:jc w:val="center"/>
    </w:pPr>
    <w:r>
      <w:rPr>
        <w:i/>
        <w:sz w:val="20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TDD_PRJ-10051_Inventory Sync Automation</dc:title>
  <dc:subject/>
  <dc:creator>NorthStar Retail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