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Purpose</w:t>
      </w:r>
    </w:p>
    <w:p>
      <w:r>
        <w:t>This document describes the technical design for optimizing the order fulfillment process. The system will intelligently route orders to the optimal fulfillment location based on inventory availability, shipping costs, and delivery time requirements.</w:t>
      </w:r>
    </w:p>
    <w:p>
      <w:pPr>
        <w:pStyle w:val="Heading2"/>
      </w:pPr>
      <w:r>
        <w:t>1.2 References</w:t>
      </w:r>
    </w:p>
    <w:p>
      <w:r>
        <w:t>- PRJ-10052 Project Charter</w:t>
        <w:br/>
        <w:t>- ORD-2026 - Order Routing Enhancement</w:t>
        <w:br/>
        <w:t>- Fulfillment Strategy Document v2.0</w:t>
      </w:r>
    </w:p>
    <w:p>
      <w:pPr>
        <w:pStyle w:val="Heading2"/>
      </w:pPr>
      <w:r>
        <w:t>1.3 Glossary</w:t>
      </w:r>
    </w:p>
    <w:tbl>
      <w:tblPr>
        <w:tblStyle w:val="LightGrid-Accent1"/>
        <w:tblW w:type="auto" w:w="0"/>
        <w:tblLook w:firstColumn="1" w:firstRow="1" w:lastColumn="0" w:lastRow="0" w:noHBand="0" w:noVBand="1" w:val="04A0"/>
      </w:tblPr>
      <w:tblGrid>
        <w:gridCol w:w="4320"/>
        <w:gridCol w:w="4320"/>
      </w:tblGrid>
      <w:tr>
        <w:tc>
          <w:tcPr>
            <w:tcW w:type="dxa" w:w="4320"/>
            <w:shd w:fill="1a365d"/>
          </w:tcPr>
          <w:p>
            <w:r>
              <w:rPr>
                <w:b/>
                <w:color w:val="FFFFFF"/>
              </w:rPr>
              <w:t>Term</w:t>
            </w:r>
          </w:p>
        </w:tc>
        <w:tc>
          <w:tcPr>
            <w:tcW w:type="dxa" w:w="4320"/>
            <w:shd w:fill="1a365d"/>
          </w:tcPr>
          <w:p>
            <w:r>
              <w:rPr>
                <w:b/>
                <w:color w:val="FFFFFF"/>
              </w:rPr>
              <w:t>Definition</w:t>
            </w:r>
          </w:p>
        </w:tc>
      </w:tr>
      <w:tr>
        <w:tc>
          <w:tcPr>
            <w:tcW w:type="dxa" w:w="4320"/>
          </w:tcPr>
          <w:p>
            <w:r>
              <w:t>OMS</w:t>
            </w:r>
          </w:p>
        </w:tc>
        <w:tc>
          <w:tcPr>
            <w:tcW w:type="dxa" w:w="4320"/>
          </w:tcPr>
          <w:p>
            <w:r>
              <w:t>Order Management System</w:t>
            </w:r>
          </w:p>
        </w:tc>
      </w:tr>
      <w:tr>
        <w:tc>
          <w:tcPr>
            <w:tcW w:type="dxa" w:w="4320"/>
          </w:tcPr>
          <w:p>
            <w:r>
              <w:t>FC</w:t>
            </w:r>
          </w:p>
        </w:tc>
        <w:tc>
          <w:tcPr>
            <w:tcW w:type="dxa" w:w="4320"/>
          </w:tcPr>
          <w:p>
            <w:r>
              <w:t>Fulfillment Center</w:t>
            </w:r>
          </w:p>
        </w:tc>
      </w:tr>
      <w:tr>
        <w:tc>
          <w:tcPr>
            <w:tcW w:type="dxa" w:w="4320"/>
          </w:tcPr>
          <w:p>
            <w:r>
              <w:t>SLA</w:t>
            </w:r>
          </w:p>
        </w:tc>
        <w:tc>
          <w:tcPr>
            <w:tcW w:type="dxa" w:w="4320"/>
          </w:tcPr>
          <w:p>
            <w:r>
              <w:t>Service Level Agreement</w:t>
            </w:r>
          </w:p>
        </w:tc>
      </w:tr>
      <w:tr>
        <w:tc>
          <w:tcPr>
            <w:tcW w:type="dxa" w:w="4320"/>
          </w:tcPr>
          <w:p>
            <w:r>
              <w:t>LTL</w:t>
            </w:r>
          </w:p>
        </w:tc>
        <w:tc>
          <w:tcPr>
            <w:tcW w:type="dxa" w:w="4320"/>
          </w:tcPr>
          <w:p>
            <w:r>
              <w:t>Less Than Truckload</w:t>
            </w:r>
          </w:p>
        </w:tc>
      </w:tr>
    </w:tbl>
    <w:p>
      <w:pPr>
        <w:pStyle w:val="Heading2"/>
      </w:pPr>
      <w:r>
        <w:t>1.4 Scope</w:t>
      </w:r>
    </w:p>
    <w:p>
      <w:r>
        <w:t>- Intelligent order routing algorithm</w:t>
        <w:br/>
        <w:t>- Multi-location inventory allocation</w:t>
        <w:br/>
        <w:t>- Shipping carrier selection optimization</w:t>
        <w:br/>
        <w:t>- Split shipment handling</w:t>
      </w:r>
    </w:p>
    <w:p>
      <w:pPr>
        <w:pStyle w:val="Heading2"/>
      </w:pPr>
      <w:r>
        <w:t>2. DESIGN OVERVIEW</w:t>
      </w:r>
    </w:p>
    <w:p>
      <w:pPr>
        <w:pStyle w:val="Heading2"/>
      </w:pPr>
      <w:r>
        <w:t>2.1 Module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a365d"/>
          </w:tcPr>
          <w:p>
            <w:r>
              <w:rPr>
                <w:b/>
                <w:color w:val="FFFFFF"/>
              </w:rPr>
              <w:t>System</w:t>
            </w:r>
          </w:p>
        </w:tc>
        <w:tc>
          <w:tcPr>
            <w:tcW w:type="dxa" w:w="1728"/>
            <w:shd w:fill="1a365d"/>
          </w:tcPr>
          <w:p>
            <w:r>
              <w:rPr>
                <w:b/>
                <w:color w:val="FFFFFF"/>
              </w:rPr>
              <w:t>Component Name</w:t>
            </w:r>
          </w:p>
        </w:tc>
        <w:tc>
          <w:tcPr>
            <w:tcW w:type="dxa" w:w="1728"/>
            <w:shd w:fill="1a365d"/>
          </w:tcPr>
          <w:p>
            <w:r>
              <w:rPr>
                <w:b/>
                <w:color w:val="FFFFFF"/>
              </w:rPr>
              <w:t>Component Type</w:t>
            </w:r>
          </w:p>
        </w:tc>
        <w:tc>
          <w:tcPr>
            <w:tcW w:type="dxa" w:w="1728"/>
            <w:shd w:fill="1a365d"/>
          </w:tcPr>
          <w:p>
            <w:r>
              <w:rPr>
                <w:b/>
                <w:color w:val="FFFFFF"/>
              </w:rPr>
              <w:t>New/Existing</w:t>
            </w:r>
          </w:p>
        </w:tc>
        <w:tc>
          <w:tcPr>
            <w:tcW w:type="dxa" w:w="1728"/>
            <w:shd w:fill="1a365d"/>
          </w:tcPr>
          <w:p>
            <w:r>
              <w:rPr>
                <w:b/>
                <w:color w:val="FFFFFF"/>
              </w:rPr>
              <w:t>Component/Change Description</w:t>
            </w:r>
          </w:p>
        </w:tc>
      </w:tr>
      <w:tr>
        <w:tc>
          <w:tcPr>
            <w:tcW w:type="dxa" w:w="1728"/>
          </w:tcPr>
          <w:p>
            <w:r>
              <w:t>OMS</w:t>
            </w:r>
          </w:p>
        </w:tc>
        <w:tc>
          <w:tcPr>
            <w:tcW w:type="dxa" w:w="1728"/>
          </w:tcPr>
          <w:p>
            <w:r>
              <w:t>SVC5010</w:t>
            </w:r>
          </w:p>
        </w:tc>
        <w:tc>
          <w:tcPr>
            <w:tcW w:type="dxa" w:w="1728"/>
          </w:tcPr>
          <w:p>
            <w:r>
              <w:t>Java Service</w:t>
            </w:r>
          </w:p>
        </w:tc>
        <w:tc>
          <w:tcPr>
            <w:tcW w:type="dxa" w:w="1728"/>
          </w:tcPr>
          <w:p>
            <w:r>
              <w:t>New</w:t>
            </w:r>
          </w:p>
        </w:tc>
        <w:tc>
          <w:tcPr>
            <w:tcW w:type="dxa" w:w="1728"/>
          </w:tcPr>
          <w:p>
            <w:r>
              <w:t>Order routing decision engine</w:t>
            </w:r>
          </w:p>
        </w:tc>
      </w:tr>
      <w:tr>
        <w:tc>
          <w:tcPr>
            <w:tcW w:type="dxa" w:w="1728"/>
          </w:tcPr>
          <w:p>
            <w:r>
              <w:t>OMS</w:t>
            </w:r>
          </w:p>
        </w:tc>
        <w:tc>
          <w:tcPr>
            <w:tcW w:type="dxa" w:w="1728"/>
          </w:tcPr>
          <w:p>
            <w:r>
              <w:t>SVC5011</w:t>
            </w:r>
          </w:p>
        </w:tc>
        <w:tc>
          <w:tcPr>
            <w:tcW w:type="dxa" w:w="1728"/>
          </w:tcPr>
          <w:p>
            <w:r>
              <w:t>Java Service</w:t>
            </w:r>
          </w:p>
        </w:tc>
        <w:tc>
          <w:tcPr>
            <w:tcW w:type="dxa" w:w="1728"/>
          </w:tcPr>
          <w:p>
            <w:r>
              <w:t>New</w:t>
            </w:r>
          </w:p>
        </w:tc>
        <w:tc>
          <w:tcPr>
            <w:tcW w:type="dxa" w:w="1728"/>
          </w:tcPr>
          <w:p>
            <w:r>
              <w:t>Inventory allocation service</w:t>
            </w:r>
          </w:p>
        </w:tc>
      </w:tr>
      <w:tr>
        <w:tc>
          <w:tcPr>
            <w:tcW w:type="dxa" w:w="1728"/>
          </w:tcPr>
          <w:p>
            <w:r>
              <w:t>OMS</w:t>
            </w:r>
          </w:p>
        </w:tc>
        <w:tc>
          <w:tcPr>
            <w:tcW w:type="dxa" w:w="1728"/>
          </w:tcPr>
          <w:p>
            <w:r>
              <w:t>SVC5012</w:t>
            </w:r>
          </w:p>
        </w:tc>
        <w:tc>
          <w:tcPr>
            <w:tcW w:type="dxa" w:w="1728"/>
          </w:tcPr>
          <w:p>
            <w:r>
              <w:t>Java Service</w:t>
            </w:r>
          </w:p>
        </w:tc>
        <w:tc>
          <w:tcPr>
            <w:tcW w:type="dxa" w:w="1728"/>
          </w:tcPr>
          <w:p>
            <w:r>
              <w:t>New</w:t>
            </w:r>
          </w:p>
        </w:tc>
        <w:tc>
          <w:tcPr>
            <w:tcW w:type="dxa" w:w="1728"/>
          </w:tcPr>
          <w:p>
            <w:r>
              <w:t>Carrier rate comparison</w:t>
            </w:r>
          </w:p>
        </w:tc>
      </w:tr>
      <w:tr>
        <w:tc>
          <w:tcPr>
            <w:tcW w:type="dxa" w:w="1728"/>
          </w:tcPr>
          <w:p>
            <w:r>
              <w:t>OMS</w:t>
            </w:r>
          </w:p>
        </w:tc>
        <w:tc>
          <w:tcPr>
            <w:tcW w:type="dxa" w:w="1728"/>
          </w:tcPr>
          <w:p>
            <w:r>
              <w:t>SVC5013</w:t>
            </w:r>
          </w:p>
        </w:tc>
        <w:tc>
          <w:tcPr>
            <w:tcW w:type="dxa" w:w="1728"/>
          </w:tcPr>
          <w:p>
            <w:r>
              <w:t>Java Service</w:t>
            </w:r>
          </w:p>
        </w:tc>
        <w:tc>
          <w:tcPr>
            <w:tcW w:type="dxa" w:w="1728"/>
          </w:tcPr>
          <w:p>
            <w:r>
              <w:t>New</w:t>
            </w:r>
          </w:p>
        </w:tc>
        <w:tc>
          <w:tcPr>
            <w:tcW w:type="dxa" w:w="1728"/>
          </w:tcPr>
          <w:p>
            <w:r>
              <w:t>Split shipment coordinator</w:t>
            </w:r>
          </w:p>
        </w:tc>
      </w:tr>
      <w:tr>
        <w:tc>
          <w:tcPr>
            <w:tcW w:type="dxa" w:w="1728"/>
          </w:tcPr>
          <w:p>
            <w:r>
              <w:t>OMS</w:t>
            </w:r>
          </w:p>
        </w:tc>
        <w:tc>
          <w:tcPr>
            <w:tcW w:type="dxa" w:w="1728"/>
          </w:tcPr>
          <w:p>
            <w:r>
              <w:t>BTH5010</w:t>
            </w:r>
          </w:p>
        </w:tc>
        <w:tc>
          <w:tcPr>
            <w:tcW w:type="dxa" w:w="1728"/>
          </w:tcPr>
          <w:p>
            <w:r>
              <w:t>Batch Job</w:t>
            </w:r>
          </w:p>
        </w:tc>
        <w:tc>
          <w:tcPr>
            <w:tcW w:type="dxa" w:w="1728"/>
          </w:tcPr>
          <w:p>
            <w:r>
              <w:t>New</w:t>
            </w:r>
          </w:p>
        </w:tc>
        <w:tc>
          <w:tcPr>
            <w:tcW w:type="dxa" w:w="1728"/>
          </w:tcPr>
          <w:p>
            <w:r>
              <w:t>Daily routing optimization analysis</w:t>
            </w:r>
          </w:p>
        </w:tc>
      </w:tr>
      <w:tr>
        <w:tc>
          <w:tcPr>
            <w:tcW w:type="dxa" w:w="1728"/>
          </w:tcPr>
          <w:p>
            <w:r>
              <w:t>OMS</w:t>
            </w:r>
          </w:p>
        </w:tc>
        <w:tc>
          <w:tcPr>
            <w:tcW w:type="dxa" w:w="1728"/>
          </w:tcPr>
          <w:p>
            <w:r>
              <w:t>CFG5010</w:t>
            </w:r>
          </w:p>
        </w:tc>
        <w:tc>
          <w:tcPr>
            <w:tcW w:type="dxa" w:w="1728"/>
          </w:tcPr>
          <w:p>
            <w:r>
              <w:t>Config</w:t>
            </w:r>
          </w:p>
        </w:tc>
        <w:tc>
          <w:tcPr>
            <w:tcW w:type="dxa" w:w="1728"/>
          </w:tcPr>
          <w:p>
            <w:r>
              <w:t>New</w:t>
            </w:r>
          </w:p>
        </w:tc>
        <w:tc>
          <w:tcPr>
            <w:tcW w:type="dxa" w:w="1728"/>
          </w:tcPr>
          <w:p>
            <w:r>
              <w:t>Routing rules configuration</w:t>
            </w:r>
          </w:p>
        </w:tc>
      </w:tr>
      <w:tr>
        <w:tc>
          <w:tcPr>
            <w:tcW w:type="dxa" w:w="1728"/>
          </w:tcPr>
          <w:p>
            <w:r>
              <w:t>OMS</w:t>
            </w:r>
          </w:p>
        </w:tc>
        <w:tc>
          <w:tcPr>
            <w:tcW w:type="dxa" w:w="1728"/>
          </w:tcPr>
          <w:p>
            <w:r>
              <w:t>TBL_ROUTE_DECISION</w:t>
            </w:r>
          </w:p>
        </w:tc>
        <w:tc>
          <w:tcPr>
            <w:tcW w:type="dxa" w:w="1728"/>
          </w:tcPr>
          <w:p>
            <w:r>
              <w:t>Database</w:t>
            </w:r>
          </w:p>
        </w:tc>
        <w:tc>
          <w:tcPr>
            <w:tcW w:type="dxa" w:w="1728"/>
          </w:tcPr>
          <w:p>
            <w:r>
              <w:t>New</w:t>
            </w:r>
          </w:p>
        </w:tc>
        <w:tc>
          <w:tcPr>
            <w:tcW w:type="dxa" w:w="1728"/>
          </w:tcPr>
          <w:p>
            <w:r>
              <w:t>Routing decision audit log</w:t>
            </w:r>
          </w:p>
        </w:tc>
      </w:tr>
    </w:tbl>
    <w:p>
      <w:pPr>
        <w:pStyle w:val="Heading2"/>
      </w:pPr>
      <w:r>
        <w:t>2.3 Key Design Decisions</w:t>
      </w:r>
    </w:p>
    <w:p>
      <w:r>
        <w:t>Routing Algorithm Priority:</w:t>
        <w:br/>
        <w:t>1. Inventory availability at single location</w:t>
        <w:br/>
        <w:t>2. Delivery SLA achievability</w:t>
        <w:br/>
        <w:t>3. Shipping cost optimization</w:t>
        <w:br/>
        <w:t>4. Warehouse capacity utilization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1a365d"/>
          </w:tcPr>
          <w:p>
            <w:r>
              <w:rPr>
                <w:b/>
                <w:color w:val="FFFFFF"/>
              </w:rPr>
              <w:t>Priority</w:t>
            </w:r>
          </w:p>
        </w:tc>
        <w:tc>
          <w:tcPr>
            <w:tcW w:type="dxa" w:w="2880"/>
            <w:shd w:fill="1a365d"/>
          </w:tcPr>
          <w:p>
            <w:r>
              <w:rPr>
                <w:b/>
                <w:color w:val="FFFFFF"/>
              </w:rPr>
              <w:t>Weight</w:t>
            </w:r>
          </w:p>
        </w:tc>
        <w:tc>
          <w:tcPr>
            <w:tcW w:type="dxa" w:w="2880"/>
            <w:shd w:fill="1a365d"/>
          </w:tcPr>
          <w:p>
            <w:r>
              <w:rPr>
                <w:b/>
                <w:color w:val="FFFFFF"/>
              </w:rPr>
              <w:t>Description</w:t>
            </w:r>
          </w:p>
        </w:tc>
      </w:tr>
      <w:tr>
        <w:tc>
          <w:tcPr>
            <w:tcW w:type="dxa" w:w="2880"/>
          </w:tcPr>
          <w:p>
            <w:r>
              <w:t>Delivery Time</w:t>
            </w:r>
          </w:p>
        </w:tc>
        <w:tc>
          <w:tcPr>
            <w:tcW w:type="dxa" w:w="2880"/>
          </w:tcPr>
          <w:p>
            <w:r>
              <w:t>40%</w:t>
            </w:r>
          </w:p>
        </w:tc>
        <w:tc>
          <w:tcPr>
            <w:tcW w:type="dxa" w:w="2880"/>
          </w:tcPr>
          <w:p>
            <w:r>
              <w:t>Meet promised delivery date</w:t>
            </w:r>
          </w:p>
        </w:tc>
      </w:tr>
      <w:tr>
        <w:tc>
          <w:tcPr>
            <w:tcW w:type="dxa" w:w="2880"/>
          </w:tcPr>
          <w:p>
            <w:r>
              <w:t>Shipping Cost</w:t>
            </w:r>
          </w:p>
        </w:tc>
        <w:tc>
          <w:tcPr>
            <w:tcW w:type="dxa" w:w="2880"/>
          </w:tcPr>
          <w:p>
            <w:r>
              <w:t>30%</w:t>
            </w:r>
          </w:p>
        </w:tc>
        <w:tc>
          <w:tcPr>
            <w:tcW w:type="dxa" w:w="2880"/>
          </w:tcPr>
          <w:p>
            <w:r>
              <w:t>Minimize carrier costs</w:t>
            </w:r>
          </w:p>
        </w:tc>
      </w:tr>
      <w:tr>
        <w:tc>
          <w:tcPr>
            <w:tcW w:type="dxa" w:w="2880"/>
          </w:tcPr>
          <w:p>
            <w:r>
              <w:t>Inventory Balance</w:t>
            </w:r>
          </w:p>
        </w:tc>
        <w:tc>
          <w:tcPr>
            <w:tcW w:type="dxa" w:w="2880"/>
          </w:tcPr>
          <w:p>
            <w:r>
              <w:t>20%</w:t>
            </w:r>
          </w:p>
        </w:tc>
        <w:tc>
          <w:tcPr>
            <w:tcW w:type="dxa" w:w="2880"/>
          </w:tcPr>
          <w:p>
            <w:r>
              <w:t>Even distribution across FCs</w:t>
            </w:r>
          </w:p>
        </w:tc>
      </w:tr>
      <w:tr>
        <w:tc>
          <w:tcPr>
            <w:tcW w:type="dxa" w:w="2880"/>
          </w:tcPr>
          <w:p>
            <w:r>
              <w:t>Capacity</w:t>
            </w:r>
          </w:p>
        </w:tc>
        <w:tc>
          <w:tcPr>
            <w:tcW w:type="dxa" w:w="2880"/>
          </w:tcPr>
          <w:p>
            <w:r>
              <w:t>10%</w:t>
            </w:r>
          </w:p>
        </w:tc>
        <w:tc>
          <w:tcPr>
            <w:tcW w:type="dxa" w:w="2880"/>
          </w:tcPr>
          <w:p>
            <w:r>
              <w:t>FC workload balancing</w:t>
            </w:r>
          </w:p>
        </w:tc>
      </w:tr>
    </w:tbl>
    <w:p>
      <w:pPr>
        <w:pStyle w:val="Heading1"/>
      </w:pPr>
      <w:r>
        <w:t>3. MODULE TECHNICAL DESIGN</w:t>
      </w:r>
    </w:p>
    <w:p>
      <w:pPr>
        <w:ind w:left="720" w:right="720"/>
      </w:pPr>
      <w:r>
        <w:rPr>
          <w:rFonts w:ascii="Courier New" w:hAnsi="Courier New"/>
          <w:sz w:val="18"/>
        </w:rPr>
        <w:t>@Service</w:t>
        <w:br/>
        <w:t>public class OrderRoutingEngine {</w:t>
        <w:br/>
        <w:br/>
        <w:t xml:space="preserve">    public RoutingDecision determineOptimalRoute(Order order) {</w:t>
        <w:br/>
        <w:t xml:space="preserve">        List&lt;FulfillmentOption&gt; options =</w:t>
        <w:br/>
        <w:t xml:space="preserve">            inventoryService.findAvailableLocations(order.getItems());</w:t>
        <w:br/>
        <w:br/>
        <w:t xml:space="preserve">        return options.stream()</w:t>
        <w:br/>
        <w:t xml:space="preserve">            .map(opt -&gt; scoreOption(opt, order))</w:t>
        <w:br/>
        <w:t xml:space="preserve">            .max(Comparator.comparing(ScoredOption::getScore))</w:t>
        <w:br/>
        <w:t xml:space="preserve">            .map(this::createDecision)</w:t>
        <w:br/>
        <w:t xml:space="preserve">            .orElseThrow();</w:t>
        <w:br/>
        <w:t xml:space="preserve">    }</w:t>
        <w:br/>
        <w:t>}</w:t>
      </w:r>
    </w:p>
    <w:p>
      <w:pPr>
        <w:pStyle w:val="Heading1"/>
      </w:pPr>
      <w:r>
        <w:t>4. BATCH PROCESSING</w:t>
      </w:r>
    </w:p>
    <w:tbl>
      <w:tblPr>
        <w:tblStyle w:val="LightGrid-Accent1"/>
        <w:tblW w:type="auto" w:w="0"/>
        <w:tblLook w:firstColumn="1" w:firstRow="1" w:lastColumn="0" w:lastRow="0" w:noHBand="0" w:noVBand="1" w:val="04A0"/>
      </w:tblPr>
      <w:tblGrid>
        <w:gridCol w:w="4320"/>
        <w:gridCol w:w="4320"/>
      </w:tblGrid>
      <w:tr>
        <w:tc>
          <w:tcPr>
            <w:tcW w:type="dxa" w:w="4320"/>
            <w:shd w:fill="1a365d"/>
          </w:tcPr>
          <w:p>
            <w:r>
              <w:rPr>
                <w:b/>
                <w:color w:val="FFFFFF"/>
              </w:rPr>
              <w:t>JOB</w:t>
            </w:r>
          </w:p>
        </w:tc>
        <w:tc>
          <w:tcPr>
            <w:tcW w:type="dxa" w:w="4320"/>
            <w:shd w:fill="1a365d"/>
          </w:tcPr>
          <w:p>
            <w:r>
              <w:rPr>
                <w:b/>
                <w:color w:val="FFFFFF"/>
              </w:rPr>
              <w:t>Scheduling</w:t>
            </w:r>
          </w:p>
        </w:tc>
      </w:tr>
      <w:tr>
        <w:tc>
          <w:tcPr>
            <w:tcW w:type="dxa" w:w="4320"/>
          </w:tcPr>
          <w:p>
            <w:r>
              <w:t>BTH5010_ANALYSIS</w:t>
            </w:r>
          </w:p>
        </w:tc>
        <w:tc>
          <w:tcPr>
            <w:tcW w:type="dxa" w:w="4320"/>
          </w:tcPr>
          <w:p>
            <w:r>
              <w:t>Daily 01:00 AM. Routing performance analysis</w:t>
            </w:r>
          </w:p>
        </w:tc>
      </w:tr>
      <w:tr>
        <w:tc>
          <w:tcPr>
            <w:tcW w:type="dxa" w:w="4320"/>
          </w:tcPr>
          <w:p>
            <w:r>
              <w:t>BTH5011_OPTIMIZE</w:t>
            </w:r>
          </w:p>
        </w:tc>
        <w:tc>
          <w:tcPr>
            <w:tcW w:type="dxa" w:w="4320"/>
          </w:tcPr>
          <w:p>
            <w:r>
              <w:t>Weekly Sunday 03:00 AM. Rule optimization</w:t>
            </w:r>
          </w:p>
        </w:tc>
      </w:tr>
      <w:tr>
        <w:tc>
          <w:tcPr>
            <w:tcW w:type="dxa" w:w="4320"/>
          </w:tcPr>
          <w:p>
            <w:r>
              <w:t>BTH5012_REPORT</w:t>
            </w:r>
          </w:p>
        </w:tc>
        <w:tc>
          <w:tcPr>
            <w:tcW w:type="dxa" w:w="4320"/>
          </w:tcPr>
          <w:p>
            <w:r>
              <w:t>Daily 07:00 AM. Fulfillment metrics report</w:t>
            </w:r>
          </w:p>
        </w:tc>
      </w:tr>
    </w:tbl>
    <w:p>
      <w:pPr>
        <w:pStyle w:val="Heading1"/>
      </w:pPr>
      <w:r>
        <w:t>10. APPROVALS</w:t>
      </w:r>
    </w:p>
    <w:p>
      <w:r>
        <w:t>This document should be approved by impacted stakeholders.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NorthStar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365D"/>
        <w:sz w:val="28"/>
      </w:rPr>
      <w:t>NorthStar Retail Solutions</w:t>
    </w:r>
  </w:p>
  <w:p>
    <w:pPr>
      <w:jc w:val="center"/>
    </w:pPr>
    <w:r>
      <w:rPr>
        <w:sz w:val="24"/>
      </w:rPr>
      <w:t>TDD_PRJ-10052_Order_Fulfillment_Optimization</w:t>
    </w:r>
  </w:p>
  <w:p>
    <w:pPr>
      <w:jc w:val="center"/>
    </w:pPr>
    <w:r>
      <w:rPr>
        <w:i/>
        <w:sz w:val="20"/>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TDD_PRJ-10052_Order Fulfillment Optimization</dc:title>
  <dc:subject/>
  <dc:creator>NorthStar Retail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