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80"/>
        <w:jc w:val="center"/>
      </w:pPr>
      <w:r>
        <w:rPr>
          <w:rFonts w:ascii="Calibri" w:cs="Calibri" w:eastAsia="Calibri" w:hAnsi="Calibri"/>
          <w:b/>
          <w:bCs/>
          <w:color w:val="1F3864"/>
          <w:sz w:val="40"/>
          <w:szCs w:val="40"/>
        </w:rPr>
        <w:t xml:space="preserve">Iran–US/GCC Conflict: A General Overview</w:t>
      </w:r>
    </w:p>
    <w:p>
      <w:pPr>
        <w:spacing w:after="80"/>
        <w:jc w:val="center"/>
      </w:pPr>
      <w:r>
        <w:rPr>
          <w:rFonts w:ascii="Calibri" w:cs="Calibri" w:eastAsia="Calibri" w:hAnsi="Calibri"/>
          <w:i/>
          <w:iCs/>
          <w:color w:val="44546A"/>
          <w:sz w:val="26"/>
          <w:szCs w:val="26"/>
        </w:rPr>
        <w:t xml:space="preserve">Current Status and Key Issues</w:t>
      </w:r>
    </w:p>
    <w:p>
      <w:pPr>
        <w:pBdr>
          <w:bottom w:val="single" w:color="9DA7BF" w:sz="6" w:space="8"/>
        </w:pBdr>
        <w:spacing w:after="60"/>
        <w:jc w:val="center"/>
      </w:pPr>
      <w:r>
        <w:rPr>
          <w:rFonts w:ascii="Calibri" w:cs="Calibri" w:eastAsia="Calibri" w:hAnsi="Calibri"/>
          <w:color w:val="7F7F7F"/>
          <w:sz w:val="20"/>
          <w:szCs w:val="20"/>
        </w:rPr>
        <w:t xml:space="preserve">Status as of 18 July 2026</w:t>
      </w:r>
    </w:p>
    <w:p>
      <w:pPr>
        <w:spacing w:after="200" w:before="160" w:line="360" w:lineRule="auto"/>
      </w:pPr>
      <w:r>
        <w:rPr>
          <w:rFonts w:ascii="Calibri" w:cs="Calibri" w:eastAsia="Calibri" w:hAnsi="Calibri"/>
          <w:b/>
          <w:bCs/>
          <w:sz w:val="22"/>
          <w:szCs w:val="22"/>
        </w:rPr>
        <w:t xml:space="preserve">How to read this report. </w:t>
      </w:r>
      <w:r>
        <w:rPr>
          <w:rFonts w:ascii="Calibri" w:cs="Calibri" w:eastAsia="Calibri" w:hAnsi="Calibri"/>
          <w:sz w:val="22"/>
          <w:szCs w:val="22"/>
        </w:rPr>
        <w:t xml:space="preserve">Each major claim carries a numbered marker that links to a footnote at the bottom of the page. Every footnote names the sources and gives a confidence level: HIGH means two or more independent, credible sources agree; MEDIUM means the event is supported but a detail is contested; LOW means the specific figure rests on weaker sourcing and should be read as illustrative.</w:t>
      </w:r>
    </w:p>
    <w:p>
      <w:pPr>
        <w:pStyle w:val="Heading1"/>
        <w:spacing w:after="120" w:before="260"/>
      </w:pPr>
      <w:r>
        <w:rPr>
          <w:rFonts w:ascii="Calibri" w:cs="Calibri" w:eastAsia="Calibri" w:hAnsi="Calibri"/>
          <w:b/>
          <w:bCs/>
          <w:color w:val="1F3864"/>
          <w:sz w:val="28"/>
          <w:szCs w:val="28"/>
        </w:rPr>
        <w:t xml:space="preserve">What is happening now</w:t>
      </w:r>
    </w:p>
    <w:p>
      <w:pPr>
        <w:spacing w:after="140" w:line="360" w:lineRule="auto"/>
        <w:jc w:val="both"/>
      </w:pPr>
      <w:r>
        <w:rPr>
          <w:rFonts w:ascii="Calibri" w:cs="Calibri" w:eastAsia="Calibri" w:hAnsi="Calibri"/>
          <w:sz w:val="22"/>
          <w:szCs w:val="22"/>
        </w:rPr>
        <w:t xml:space="preserve">A war that began in early 2026 between Iran on one side and the United States and Israel on the other has widened to draw in the Gulf. After a brief ceasefire, fighting resumed in July 2026. The United States has returned to intensified air strikes, Iran has fired missiles and drones at Gulf Arab states that host American forces</w:t>
      </w:r>
      <w:r>
        <w:rPr>
          <w:rStyle w:val="FootnoteReference"/>
        </w:rPr>
        <w:footnoteReference w:id="10"/>
      </w:r>
      <w:r>
        <w:rPr>
          <w:rFonts w:ascii="Calibri" w:cs="Calibri" w:eastAsia="Calibri" w:hAnsi="Calibri"/>
          <w:sz w:val="22"/>
          <w:szCs w:val="22"/>
        </w:rPr>
        <w:t xml:space="preserve">, and the conflict has spread to Yemen, where the Houthis have struck Saudi Arabia again</w:t>
      </w:r>
      <w:r>
        <w:rPr>
          <w:rStyle w:val="FootnoteReference"/>
        </w:rPr>
        <w:footnoteReference w:id="11"/>
      </w:r>
      <w:r>
        <w:rPr>
          <w:rFonts w:ascii="Calibri" w:cs="Calibri" w:eastAsia="Calibri" w:hAnsi="Calibri"/>
          <w:sz w:val="22"/>
          <w:szCs w:val="22"/>
        </w:rPr>
        <w:t xml:space="preserve">. A negotiated framework signed in June has, for now, broken down.</w:t>
      </w:r>
    </w:p>
    <w:p>
      <w:pPr>
        <w:spacing w:after="140" w:line="360" w:lineRule="auto"/>
        <w:jc w:val="both"/>
      </w:pPr>
      <w:r>
        <w:rPr>
          <w:rFonts w:ascii="Calibri" w:cs="Calibri" w:eastAsia="Calibri" w:hAnsi="Calibri"/>
          <w:sz w:val="22"/>
          <w:szCs w:val="22"/>
        </w:rPr>
        <w:t xml:space="preserve">The war started on 28 February 2026 with a joint US–Israeli operation known as Operation Epic Fury. The opening strikes killed Iran’s Supreme Leader, Ali Khamenei, along with other senior officials, and Iran answered with mass missile and drone attacks</w:t>
      </w:r>
      <w:r>
        <w:rPr>
          <w:rStyle w:val="FootnoteReference"/>
        </w:rPr>
        <w:footnoteReference w:id="1"/>
      </w:r>
      <w:r>
        <w:rPr>
          <w:rFonts w:ascii="Calibri" w:cs="Calibri" w:eastAsia="Calibri" w:hAnsi="Calibri"/>
          <w:sz w:val="22"/>
          <w:szCs w:val="22"/>
        </w:rPr>
        <w:t xml:space="preserve">. His son, Mojtaba Khamenei, has since taken over as Supreme Leader</w:t>
      </w:r>
      <w:r>
        <w:rPr>
          <w:rStyle w:val="FootnoteReference"/>
        </w:rPr>
        <w:footnoteReference w:id="2"/>
      </w:r>
      <w:r>
        <w:rPr>
          <w:rFonts w:ascii="Calibri" w:cs="Calibri" w:eastAsia="Calibri" w:hAnsi="Calibri"/>
          <w:sz w:val="22"/>
          <w:szCs w:val="22"/>
        </w:rPr>
        <w:t xml:space="preserve">.</w:t>
      </w:r>
    </w:p>
    <w:p>
      <w:pPr>
        <w:pStyle w:val="Heading1"/>
        <w:spacing w:after="120" w:before="260"/>
      </w:pPr>
      <w:r>
        <w:rPr>
          <w:rFonts w:ascii="Calibri" w:cs="Calibri" w:eastAsia="Calibri" w:hAnsi="Calibri"/>
          <w:b/>
          <w:bCs/>
          <w:color w:val="1F3864"/>
          <w:sz w:val="28"/>
          <w:szCs w:val="28"/>
        </w:rPr>
        <w:t xml:space="preserve">How the conflict started</w:t>
      </w:r>
    </w:p>
    <w:p>
      <w:pPr>
        <w:spacing w:after="140" w:line="360" w:lineRule="auto"/>
        <w:jc w:val="both"/>
      </w:pPr>
      <w:r>
        <w:rPr>
          <w:rFonts w:ascii="Calibri" w:cs="Calibri" w:eastAsia="Calibri" w:hAnsi="Calibri"/>
          <w:sz w:val="22"/>
          <w:szCs w:val="22"/>
        </w:rPr>
        <w:t xml:space="preserve">The roots of this conflict are old. The United States and Iran have been adversaries since Iran’s 1979 revolution, which overthrew the US-backed shah and led to the seizure of the US embassy in Tehran and a 444-day hostage crisis. Iranians, in turn, point to the 1953 coup, in which the US and Britain helped remove Iran’s elected prime minister. The two countries have had no formal diplomatic relations for decades.</w:t>
      </w:r>
    </w:p>
    <w:p>
      <w:pPr>
        <w:spacing w:after="140" w:line="360" w:lineRule="auto"/>
        <w:jc w:val="both"/>
      </w:pPr>
      <w:r>
        <w:rPr>
          <w:rFonts w:ascii="Calibri" w:cs="Calibri" w:eastAsia="Calibri" w:hAnsi="Calibri"/>
          <w:sz w:val="22"/>
          <w:szCs w:val="22"/>
        </w:rPr>
        <w:t xml:space="preserve">More recent history sits closer to the current war. In 2015, Iran and world powers signed the nuclear agreement known as the JCPOA, which limited Iran’s nuclear program in exchange for sanctions relief. The United States withdrew from that deal in 2018 and reimposed sanctions. In January 2020, a US drone strike killed Iranian general Qassem Soleimani. Tension over Iran’s nuclear program and its regional proxies continued to build until the 2026 strikes.</w:t>
      </w:r>
    </w:p>
    <w:p>
      <w:pPr>
        <w:pStyle w:val="Heading1"/>
        <w:spacing w:after="120" w:before="260"/>
      </w:pPr>
      <w:r>
        <w:rPr>
          <w:rFonts w:ascii="Calibri" w:cs="Calibri" w:eastAsia="Calibri" w:hAnsi="Calibri"/>
          <w:b/>
          <w:bCs/>
          <w:color w:val="1F3864"/>
          <w:sz w:val="28"/>
          <w:szCs w:val="28"/>
        </w:rPr>
        <w:t xml:space="preserve">The economic shock</w:t>
      </w:r>
    </w:p>
    <w:p>
      <w:pPr>
        <w:spacing w:after="140" w:line="360" w:lineRule="auto"/>
        <w:jc w:val="both"/>
      </w:pPr>
      <w:r>
        <w:rPr>
          <w:rFonts w:ascii="Calibri" w:cs="Calibri" w:eastAsia="Calibri" w:hAnsi="Calibri"/>
          <w:sz w:val="22"/>
          <w:szCs w:val="22"/>
        </w:rPr>
        <w:t xml:space="preserve">The fighting hit the global economy through the Strait of Hormuz, the narrow waterway at the mouth of the Gulf. Roughly a fifth to a quarter of the world’s seaborne oil and about a fifth of its liquefied natural gas pass through it. Iran contested and closed the strait, and the United States imposed a naval blockade in response</w:t>
      </w:r>
      <w:r>
        <w:rPr>
          <w:rStyle w:val="FootnoteReference"/>
        </w:rPr>
        <w:footnoteReference w:id="3"/>
      </w:r>
      <w:r>
        <w:rPr>
          <w:rFonts w:ascii="Calibri" w:cs="Calibri" w:eastAsia="Calibri" w:hAnsi="Calibri"/>
          <w:sz w:val="22"/>
          <w:szCs w:val="22"/>
        </w:rPr>
        <w:t xml:space="preserve">.</w:t>
      </w:r>
    </w:p>
    <w:p>
      <w:pPr>
        <w:spacing w:after="140" w:line="360" w:lineRule="auto"/>
        <w:jc w:val="both"/>
      </w:pPr>
      <w:r>
        <w:rPr>
          <w:rFonts w:ascii="Calibri" w:cs="Calibri" w:eastAsia="Calibri" w:hAnsi="Calibri"/>
          <w:sz w:val="22"/>
          <w:szCs w:val="22"/>
        </w:rPr>
        <w:t xml:space="preserve">Oil prices climbed sharply. Brent crude, the global benchmark, rose past $120 a barrel after the strait was closed, one of the largest oil-market disruptions on record</w:t>
      </w:r>
      <w:r>
        <w:rPr>
          <w:rStyle w:val="FootnoteReference"/>
        </w:rPr>
        <w:footnoteReference w:id="4"/>
      </w:r>
      <w:r>
        <w:rPr>
          <w:rFonts w:ascii="Calibri" w:cs="Calibri" w:eastAsia="Calibri" w:hAnsi="Calibri"/>
          <w:sz w:val="22"/>
          <w:szCs w:val="22"/>
        </w:rPr>
        <w:t xml:space="preserve">. QatarEnergy declared force majeure, a legal step that suspends delivery obligations, on key long-term gas contracts, which set off a second energy crisis in Europe</w:t>
      </w:r>
      <w:r>
        <w:rPr>
          <w:rStyle w:val="FootnoteReference"/>
        </w:rPr>
        <w:footnoteReference w:id="5"/>
      </w:r>
      <w:r>
        <w:rPr>
          <w:rFonts w:ascii="Calibri" w:cs="Calibri" w:eastAsia="Calibri" w:hAnsi="Calibri"/>
          <w:sz w:val="22"/>
          <w:szCs w:val="22"/>
        </w:rPr>
        <w:t xml:space="preserve">.</w:t>
      </w:r>
    </w:p>
    <w:p>
      <w:pPr>
        <w:spacing w:after="140" w:line="360" w:lineRule="auto"/>
        <w:jc w:val="both"/>
      </w:pPr>
      <w:r>
        <w:rPr>
          <w:rFonts w:ascii="Calibri" w:cs="Calibri" w:eastAsia="Calibri" w:hAnsi="Calibri"/>
          <w:sz w:val="22"/>
          <w:szCs w:val="22"/>
        </w:rPr>
        <w:t xml:space="preserve">The Gulf states themselves face a food problem, not only an energy one. They import most of their food, and much of it arrives by sea through Hormuz. Disruption to those shipments has strained supply and pushed up prices</w:t>
      </w:r>
      <w:r>
        <w:rPr>
          <w:rStyle w:val="FootnoteReference"/>
        </w:rPr>
        <w:footnoteReference w:id="6"/>
      </w:r>
      <w:r>
        <w:rPr>
          <w:rFonts w:ascii="Calibri" w:cs="Calibri" w:eastAsia="Calibri" w:hAnsi="Calibri"/>
          <w:sz w:val="22"/>
          <w:szCs w:val="22"/>
        </w:rPr>
        <w:t xml:space="preserve">. The exact scale of the production and price effects is harder to pin down than the direction of the damage.</w:t>
      </w:r>
    </w:p>
    <w:p>
      <w:pPr>
        <w:pStyle w:val="Heading1"/>
        <w:spacing w:after="120" w:before="260"/>
      </w:pPr>
      <w:r>
        <w:rPr>
          <w:rFonts w:ascii="Calibri" w:cs="Calibri" w:eastAsia="Calibri" w:hAnsi="Calibri"/>
          <w:b/>
          <w:bCs/>
          <w:color w:val="1F3864"/>
          <w:sz w:val="28"/>
          <w:szCs w:val="28"/>
        </w:rPr>
        <w:t xml:space="preserve">Diplomacy and the ceasefire that broke down</w:t>
      </w:r>
    </w:p>
    <w:p>
      <w:pPr>
        <w:spacing w:after="140" w:line="360" w:lineRule="auto"/>
        <w:jc w:val="both"/>
      </w:pPr>
      <w:r>
        <w:rPr>
          <w:rFonts w:ascii="Calibri" w:cs="Calibri" w:eastAsia="Calibri" w:hAnsi="Calibri"/>
          <w:sz w:val="22"/>
          <w:szCs w:val="22"/>
        </w:rPr>
        <w:t xml:space="preserve">The parties came close to ending the war. On 17 June 2026, they signed a framework, remotely, with President Trump at Versailles and President Pezeshkian in Tehran. It set out a roadmap of about 60 days with working groups, and technical talks followed in Switzerland</w:t>
      </w:r>
      <w:r>
        <w:rPr>
          <w:rStyle w:val="FootnoteReference"/>
        </w:rPr>
        <w:footnoteReference w:id="7"/>
      </w:r>
      <w:r>
        <w:rPr>
          <w:rFonts w:ascii="Calibri" w:cs="Calibri" w:eastAsia="Calibri" w:hAnsi="Calibri"/>
          <w:sz w:val="22"/>
          <w:szCs w:val="22"/>
        </w:rPr>
        <w:t xml:space="preserve">.</w:t>
      </w:r>
    </w:p>
    <w:p>
      <w:pPr>
        <w:spacing w:after="140" w:line="360" w:lineRule="auto"/>
        <w:jc w:val="both"/>
      </w:pPr>
      <w:r>
        <w:rPr>
          <w:rFonts w:ascii="Calibri" w:cs="Calibri" w:eastAsia="Calibri" w:hAnsi="Calibri"/>
          <w:sz w:val="22"/>
          <w:szCs w:val="22"/>
        </w:rPr>
        <w:t xml:space="preserve">One issue stayed unresolved: access for inspectors from the International Atomic Energy Agency, the UN nuclear watchdog. US Vice President Vance said Iran had agreed to readmit inspectors; Iran said any access would come only after a final deal</w:t>
      </w:r>
      <w:r>
        <w:rPr>
          <w:rStyle w:val="FootnoteReference"/>
        </w:rPr>
        <w:footnoteReference w:id="8"/>
      </w:r>
      <w:r>
        <w:rPr>
          <w:rFonts w:ascii="Calibri" w:cs="Calibri" w:eastAsia="Calibri" w:hAnsi="Calibri"/>
          <w:sz w:val="22"/>
          <w:szCs w:val="22"/>
        </w:rPr>
        <w:t xml:space="preserve">. The interim ceasefire then collapsed on 8 July 2026 after renewed attacks by both sides. The United States resumed heavy strikes, and Iran struck back at Gulf states</w:t>
      </w:r>
      <w:r>
        <w:rPr>
          <w:rStyle w:val="FootnoteReference"/>
        </w:rPr>
        <w:footnoteReference w:id="9"/>
      </w:r>
      <w:r>
        <w:rPr>
          <w:rFonts w:ascii="Calibri" w:cs="Calibri" w:eastAsia="Calibri" w:hAnsi="Calibri"/>
          <w:sz w:val="22"/>
          <w:szCs w:val="22"/>
        </w:rPr>
        <w:t xml:space="preserve">.</w:t>
      </w:r>
    </w:p>
    <w:p>
      <w:pPr>
        <w:pStyle w:val="Heading1"/>
        <w:spacing w:after="120" w:before="260"/>
      </w:pPr>
      <w:r>
        <w:rPr>
          <w:rFonts w:ascii="Calibri" w:cs="Calibri" w:eastAsia="Calibri" w:hAnsi="Calibri"/>
          <w:b/>
          <w:bCs/>
          <w:color w:val="1F3864"/>
          <w:sz w:val="28"/>
          <w:szCs w:val="28"/>
        </w:rPr>
        <w:t xml:space="preserve">Where the region stands now</w:t>
      </w:r>
    </w:p>
    <w:p>
      <w:pPr>
        <w:spacing w:after="140" w:line="360" w:lineRule="auto"/>
        <w:jc w:val="both"/>
      </w:pPr>
      <w:r>
        <w:rPr>
          <w:rFonts w:ascii="Calibri" w:cs="Calibri" w:eastAsia="Calibri" w:hAnsi="Calibri"/>
          <w:sz w:val="22"/>
          <w:szCs w:val="22"/>
        </w:rPr>
        <w:t xml:space="preserve">The renewed fighting has pulled in Iran’s neighbors. Gulf Arab states that host US forces, including Bahrain, Kuwait, Qatar, and the United Arab Emirates, along with Jordan, have come under Iranian fire</w:t>
      </w:r>
      <w:r>
        <w:rPr>
          <w:rStyle w:val="FootnoteReference"/>
        </w:rPr>
        <w:footnoteReference w:id="10"/>
      </w:r>
      <w:r>
        <w:rPr>
          <w:rFonts w:ascii="Calibri" w:cs="Calibri" w:eastAsia="Calibri" w:hAnsi="Calibri"/>
          <w:sz w:val="22"/>
          <w:szCs w:val="22"/>
        </w:rPr>
        <w:t xml:space="preserve">. On 13 July, Yemen’s Houthis struck Saudi Arabia’s Abha airport with missiles and drones, the most serious escalation since the 2022 truce, after an incident at Sanaa airport involving an Iranian plane</w:t>
      </w:r>
      <w:r>
        <w:rPr>
          <w:rStyle w:val="FootnoteReference"/>
        </w:rPr>
        <w:footnoteReference w:id="11"/>
      </w:r>
      <w:r>
        <w:rPr>
          <w:rFonts w:ascii="Calibri" w:cs="Calibri" w:eastAsia="Calibri" w:hAnsi="Calibri"/>
          <w:sz w:val="22"/>
          <w:szCs w:val="22"/>
        </w:rPr>
        <w:t xml:space="preserve">.</w:t>
      </w:r>
    </w:p>
    <w:p>
      <w:pPr>
        <w:spacing w:after="140" w:line="360" w:lineRule="auto"/>
        <w:jc w:val="both"/>
      </w:pPr>
      <w:r>
        <w:rPr>
          <w:rFonts w:ascii="Calibri" w:cs="Calibri" w:eastAsia="Calibri" w:hAnsi="Calibri"/>
          <w:sz w:val="22"/>
          <w:szCs w:val="22"/>
        </w:rPr>
        <w:t xml:space="preserve">The nuclear question remains at the center. President Trump has publicly threatened to strike an Iranian underground nuclear complex known as Pickaxe Mountain, near Natanz</w:t>
      </w:r>
      <w:r>
        <w:rPr>
          <w:rStyle w:val="FootnoteReference"/>
        </w:rPr>
        <w:footnoteReference w:id="12"/>
      </w:r>
      <w:r>
        <w:rPr>
          <w:rFonts w:ascii="Calibri" w:cs="Calibri" w:eastAsia="Calibri" w:hAnsi="Calibri"/>
          <w:sz w:val="22"/>
          <w:szCs w:val="22"/>
        </w:rPr>
        <w:t xml:space="preserve">. Whether that strike happens, and when, is not yet settled.</w:t>
      </w:r>
    </w:p>
    <w:p>
      <w:pPr>
        <w:spacing w:after="140" w:line="360" w:lineRule="auto"/>
        <w:jc w:val="both"/>
      </w:pPr>
      <w:r>
        <w:rPr>
          <w:rFonts w:ascii="Calibri" w:cs="Calibri" w:eastAsia="Calibri" w:hAnsi="Calibri"/>
          <w:sz w:val="22"/>
          <w:szCs w:val="22"/>
        </w:rPr>
        <w:t xml:space="preserve">The two large powers that might have intervened have stayed out. Russia and China have condemned the strikes but committed no forces, and analysts argue both stand to gain strategically from a conflict that ties down the United States and disrupts its partners</w:t>
      </w:r>
      <w:r>
        <w:rPr>
          <w:rStyle w:val="FootnoteReference"/>
        </w:rPr>
        <w:footnoteReference w:id="13"/>
      </w:r>
      <w:r>
        <w:rPr>
          <w:rFonts w:ascii="Calibri" w:cs="Calibri" w:eastAsia="Calibri" w:hAnsi="Calibri"/>
          <w:sz w:val="22"/>
          <w:szCs w:val="22"/>
        </w:rPr>
        <w:t xml:space="preserve">.</w:t>
      </w:r>
    </w:p>
    <w:p>
      <w:pPr>
        <w:spacing w:after="140" w:line="360" w:lineRule="auto"/>
        <w:jc w:val="both"/>
      </w:pPr>
      <w:r>
        <w:rPr>
          <w:rFonts w:ascii="Calibri" w:cs="Calibri" w:eastAsia="Calibri" w:hAnsi="Calibri"/>
          <w:sz w:val="22"/>
          <w:szCs w:val="22"/>
        </w:rPr>
        <w:t xml:space="preserve">The Gulf states are drawing their own conclusion. Having been struck while relying on US protection, they are moving to diversify their security partnerships, deepening arms and defense ties with France, the United Kingdom, South Korea, and Turkey, while aiming to supplement rather than replace their relationship with Washington</w:t>
      </w:r>
      <w:r>
        <w:rPr>
          <w:rStyle w:val="FootnoteReference"/>
        </w:rPr>
        <w:footnoteReference w:id="14"/>
      </w:r>
      <w:r>
        <w:rPr>
          <w:rFonts w:ascii="Calibri" w:cs="Calibri" w:eastAsia="Calibri" w:hAnsi="Calibri"/>
          <w:sz w:val="22"/>
          <w:szCs w:val="22"/>
        </w:rPr>
        <w:t xml:space="preserve">.</w:t>
      </w:r>
    </w:p>
    <w:p>
      <w:pPr>
        <w:pStyle w:val="Heading1"/>
        <w:spacing w:after="120" w:before="260"/>
      </w:pPr>
      <w:r>
        <w:rPr>
          <w:rFonts w:ascii="Calibri" w:cs="Calibri" w:eastAsia="Calibri" w:hAnsi="Calibri"/>
          <w:b/>
          <w:bCs/>
          <w:color w:val="1F3864"/>
          <w:sz w:val="28"/>
          <w:szCs w:val="28"/>
        </w:rPr>
        <w:t xml:space="preserve">What to watch</w:t>
      </w:r>
    </w:p>
    <w:p>
      <w:pPr>
        <w:spacing w:after="140" w:line="360" w:lineRule="auto"/>
        <w:jc w:val="both"/>
      </w:pPr>
      <w:r>
        <w:rPr>
          <w:rFonts w:ascii="Calibri" w:cs="Calibri" w:eastAsia="Calibri" w:hAnsi="Calibri"/>
          <w:sz w:val="22"/>
          <w:szCs w:val="22"/>
        </w:rPr>
        <w:t xml:space="preserve">Three questions will shape the next phase. Whether the United States strikes the Pickaxe Mountain nuclear site, which would mark a new stage in the war. Whether the Gulf states can hold their footing between Iranian fire and their US alliance. And whether either side returns to the June framework or something like it. The confidence levels in the footnotes indicate where the facts are firm and where they are still contested.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CFR Global Conflict Tracker (2026), "Iran’s War With Israel and the United States"; and Congressional Research Service (March 2026), "U.S. Conflict with Iran," R48887. Confidence: HIGH.</w:t>
      </w:r>
    </w:p>
  </w:footnote>
  <w:footnote w:id="2">
    <w:p>
      <w:r>
        <w:rPr>
          <w:rStyle w:val="FootnoteReference"/>
        </w:rPr>
        <w:footnoteRef/>
      </w:r>
      <w:r>
        <w:t xml:space="preserve">Britannica (2026), "2026 Iran war"; and Congressional Research Service (March 2026), R48887. Confidence: HIGH.</w:t>
      </w:r>
    </w:p>
  </w:footnote>
  <w:footnote w:id="3">
    <w:p>
      <w:r>
        <w:rPr>
          <w:rStyle w:val="FootnoteReference"/>
        </w:rPr>
        <w:footnoteRef/>
      </w:r>
      <w:r>
        <w:t xml:space="preserve">Congressional Research Service (March 2026), R48887; and CNBC (July 2026), "Oil little changed after U.S. reimposes naval blockade on Iran." Confidence: HIGH. The exact closure date is reported variously (early March vs. a formal IRGC announcement on 27 March); the closure itself is well established. Confidence on the precise date: MEDIUM.</w:t>
      </w:r>
    </w:p>
  </w:footnote>
  <w:footnote w:id="4">
    <w:p>
      <w:r>
        <w:rPr>
          <w:rStyle w:val="FootnoteReference"/>
        </w:rPr>
        <w:footnoteRef/>
      </w:r>
      <w:r>
        <w:t xml:space="preserve">CNBC (July 2026), "Brent oil jumps more than 9% after Trump reinstates Iran blockade"; and Kiel Institute Policy Brief 206 (March 2026), "The Cost of Closing the Strait of Hormuz." Confidence: HIGH.</w:t>
      </w:r>
    </w:p>
  </w:footnote>
  <w:footnote w:id="5">
    <w:p>
      <w:r>
        <w:rPr>
          <w:rStyle w:val="FootnoteReference"/>
        </w:rPr>
        <w:footnoteRef/>
      </w:r>
      <w:r>
        <w:t xml:space="preserve">Bloomberg (May 2026), "Qatar Extends Force Majeure on LNG Supply"; and CNBC (July 2026), "QatarEnergy extends force majeure." Confidence: HIGH. Force majeure applied to key long-term contracts (including buyers in Italy, Belgium, and Asia) and was compounded by strike damage at Ras Laffan, rather than a halt of all exports.</w:t>
      </w:r>
    </w:p>
  </w:footnote>
  <w:footnote w:id="6">
    <w:p>
      <w:r>
        <w:rPr>
          <w:rStyle w:val="FootnoteReference"/>
        </w:rPr>
        <w:footnoteRef/>
      </w:r>
      <w:r>
        <w:t xml:space="preserve">FAO (2026), "Global Agrifood Implications of the 2026 Conflict in the Middle East"; and The Conversation (2026), "Strait of Hormuz: Gulf states’ food security is at immediate risk." Confidence: MEDIUM. The direction and severity of the food-supply shock are corroborated; specific figures (exact production-loss volumes and price ranges) rest on weaker sourcing and should be read as illustrative. Confidence on precise figures: LOW.</w:t>
      </w:r>
    </w:p>
  </w:footnote>
  <w:footnote w:id="7">
    <w:p>
      <w:r>
        <w:rPr>
          <w:rStyle w:val="FootnoteReference"/>
        </w:rPr>
        <w:footnoteRef/>
      </w:r>
      <w:r>
        <w:t xml:space="preserve">Al Jazeera (June 2026), "Key outcomes of Iran-US talks in Switzerland"; and CNBC (June 2026), "Vance hails ‘great progress’ in U.S.-Iran talks." Confidence: HIGH. Sources name the framework the "Islamabad Memorandum."</w:t>
      </w:r>
    </w:p>
  </w:footnote>
  <w:footnote w:id="8">
    <w:p>
      <w:r>
        <w:rPr>
          <w:rStyle w:val="FootnoteReference"/>
        </w:rPr>
        <w:footnoteRef/>
      </w:r>
      <w:r>
        <w:t xml:space="preserve">NPR (June 2026), "U.N. nuclear chief says inspectors will visit Iran, but Iran says only after final deal"; and Al Jazeera (June 2026), same event. Confidence: HIGH.</w:t>
      </w:r>
    </w:p>
  </w:footnote>
  <w:footnote w:id="9">
    <w:p>
      <w:r>
        <w:rPr>
          <w:rStyle w:val="FootnoteReference"/>
        </w:rPr>
        <w:footnoteRef/>
      </w:r>
      <w:r>
        <w:t xml:space="preserve">NPR (July 2026), "U.S. strikes Iran again, Tehran fires back at Gulf Arab states"; and CNN (July 2026), "US-Iran ceasefire crumbles as fresh strikes rock Middle East." Confidence: HIGH.</w:t>
      </w:r>
    </w:p>
  </w:footnote>
  <w:footnote w:id="10">
    <w:p>
      <w:r>
        <w:rPr>
          <w:rStyle w:val="FootnoteReference"/>
        </w:rPr>
        <w:footnoteRef/>
      </w:r>
      <w:r>
        <w:t xml:space="preserve">NPR (July 2026), "U.S. strikes Iran again, Tehran fires back at Gulf Arab states"; and Al Jazeera (July 2026), "Gulf states come under Iranian fire as US strikes intensify." Confidence: HIGH for strikes on Gulf states hosting U.S. forces (Bahrain, Kuwait, Qatar, UAE, and Jordan); MEDIUM for reports that all six GCC states, including Oman, were hit and for the specific Al Udeid strike.</w:t>
      </w:r>
    </w:p>
  </w:footnote>
  <w:footnote w:id="11">
    <w:p>
      <w:r>
        <w:rPr>
          <w:rStyle w:val="FootnoteReference"/>
        </w:rPr>
        <w:footnoteRef/>
      </w:r>
      <w:r>
        <w:t xml:space="preserve">Washington Post (July 2026), "Yemen’s Houthis strike Saudi Arabia’s Abha airport with missiles and drones"; and The National (July 2026), "Houthis fire missiles at Saudi Arabia after blast at Sanaa airport." Confidence: HIGH.</w:t>
      </w:r>
    </w:p>
  </w:footnote>
  <w:footnote w:id="12">
    <w:p>
      <w:r>
        <w:rPr>
          <w:rStyle w:val="FootnoteReference"/>
        </w:rPr>
        <w:footnoteRef/>
      </w:r>
      <w:r>
        <w:t xml:space="preserve">The National (July 2026), "What is Pickaxe Mountain? The suspected Iranian nuclear site Trump says is in US crosshairs"; and Al-Monitor (July 2026), "Trump says US to strike Iran’s Pickaxe Mountain nuclear site." Confidence: HIGH that the threat was made publicly; MEDIUM on whether a strike occurs and on its sequencing.</w:t>
      </w:r>
    </w:p>
  </w:footnote>
  <w:footnote w:id="13">
    <w:p>
      <w:r>
        <w:rPr>
          <w:rStyle w:val="FootnoteReference"/>
        </w:rPr>
        <w:footnoteRef/>
      </w:r>
      <w:r>
        <w:t xml:space="preserve">Washington Institute (2026), "Tracking Chinese and Russian Statements on the Iran War"; PIIE (2026), "How Russia and China are winning the war in Iran"; and Foreign Affairs (2026), "How China and Russia Can Exploit the Iran War." Confidence: HIGH.</w:t>
      </w:r>
    </w:p>
  </w:footnote>
  <w:footnote w:id="14">
    <w:p>
      <w:r>
        <w:rPr>
          <w:rStyle w:val="FootnoteReference"/>
        </w:rPr>
        <w:footnoteRef/>
      </w:r>
      <w:r>
        <w:t xml:space="preserve">Al Jazeera (July 2026), "How US-Iran war may push Gulf countries to ‘diversify’ security alliances"; and Middle East Council on Global Affairs (2026), "Gulf Security Beyond Guarantees." Confidence: HIGH.</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Iran–US/GCC Conflict: A General Overview</dc:title>
  <dc:creator>Report</dc:creator>
  <cp:lastModifiedBy>Un-named</cp:lastModifiedBy>
  <cp:revision>1</cp:revision>
  <dcterms:created xsi:type="dcterms:W3CDTF">2026-07-18T09:42:13.618Z</dcterms:created>
  <dcterms:modified xsi:type="dcterms:W3CDTF">2026-07-18T09:42:13.619Z</dcterms:modified>
</cp:coreProperties>
</file>

<file path=docProps/custom.xml><?xml version="1.0" encoding="utf-8"?>
<Properties xmlns="http://schemas.openxmlformats.org/officeDocument/2006/custom-properties" xmlns:vt="http://schemas.openxmlformats.org/officeDocument/2006/docPropsVTypes"/>
</file>