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800020"/>
          <w:sz w:val="44"/>
        </w:rPr>
        <w:t>Wine E-Label Platform — Engineering Master Audit &amp; Fix Report</w:t>
      </w:r>
    </w:p>
    <w:p>
      <w:pPr>
        <w:spacing w:after="360"/>
        <w:jc w:val="center"/>
      </w:pPr>
      <w:r>
        <w:rPr>
          <w:i/>
          <w:color w:val="646464"/>
          <w:sz w:val="22"/>
        </w:rPr>
        <w:t>End-to-End Reliability, Persistence Across Restarts, Security Authorization, Database Relationships &amp; EU Compliance</w:t>
      </w:r>
    </w:p>
    <w:tbl>
      <w:tblPr>
        <w:tblW w:type="auto" w:w="0"/>
        <w:jc w:val="center"/>
        <w:tblLook w:firstColumn="1" w:firstRow="1" w:lastColumn="0" w:lastRow="0" w:noHBand="0" w:noVBand="1" w:val="04A0"/>
      </w:tblPr>
      <w:tblGrid>
        <w:gridCol w:w="4680"/>
        <w:gridCol w:w="4680"/>
      </w:tblGrid>
      <w:tr>
        <w:tc>
          <w:tcPr>
            <w:tcW w:type="dxa" w:w="3168"/>
            <w:shd w:fill="F3F4F6"/>
          </w:tcPr>
          <w:p>
            <w:r>
              <w:rPr>
                <w:b/>
              </w:rPr>
              <w:t>Repository</w:t>
            </w:r>
          </w:p>
        </w:tc>
        <w:tc>
          <w:tcPr>
            <w:tcW w:type="dxa" w:w="6192"/>
            <w:shd w:fill="FAFAFA"/>
          </w:tcPr>
          <w:p>
            <w:r>
              <w:t>https://github.com/pranavbhandare31/Wine_lable</w:t>
            </w:r>
          </w:p>
        </w:tc>
      </w:tr>
      <w:tr>
        <w:tc>
          <w:tcPr>
            <w:tcW w:type="dxa" w:w="3168"/>
            <w:shd w:fill="F3F4F6"/>
          </w:tcPr>
          <w:p>
            <w:r>
              <w:rPr>
                <w:b/>
              </w:rPr>
              <w:t>Target Branch</w:t>
            </w:r>
          </w:p>
        </w:tc>
        <w:tc>
          <w:tcPr>
            <w:tcW w:type="dxa" w:w="6192"/>
            <w:shd w:fill="FAFAFA"/>
          </w:tcPr>
          <w:p>
            <w:r>
              <w:t>main</w:t>
            </w:r>
          </w:p>
        </w:tc>
      </w:tr>
      <w:tr>
        <w:tc>
          <w:tcPr>
            <w:tcW w:type="dxa" w:w="3168"/>
            <w:shd w:fill="F3F4F6"/>
          </w:tcPr>
          <w:p>
            <w:r>
              <w:rPr>
                <w:b/>
              </w:rPr>
              <w:t>Primary Technologies</w:t>
            </w:r>
          </w:p>
        </w:tc>
        <w:tc>
          <w:tcPr>
            <w:tcW w:type="dxa" w:w="6192"/>
            <w:shd w:fill="FAFAFA"/>
          </w:tcPr>
          <w:p>
            <w:r>
              <w:t>Next.js 14 (App Router), TypeScript, Tailwind CSS, next-intl, Drizzle ORM, PGlite / PostgreSQL, Clerk Auth</w:t>
            </w:r>
          </w:p>
        </w:tc>
      </w:tr>
      <w:tr>
        <w:tc>
          <w:tcPr>
            <w:tcW w:type="dxa" w:w="3168"/>
            <w:shd w:fill="F3F4F6"/>
          </w:tcPr>
          <w:p>
            <w:r>
              <w:rPr>
                <w:b/>
              </w:rPr>
              <w:t>Compliance Standards</w:t>
            </w:r>
          </w:p>
        </w:tc>
        <w:tc>
          <w:tcPr>
            <w:tcW w:type="dxa" w:w="6192"/>
            <w:shd w:fill="FAFAFA"/>
          </w:tcPr>
          <w:p>
            <w:r>
              <w:t>EU Regulation 2021/2117 &amp; EU Regulation 1169/2011 (Wine E-Labels &amp; Multilingual Disclosures)</w:t>
            </w:r>
          </w:p>
        </w:tc>
      </w:tr>
      <w:tr>
        <w:tc>
          <w:tcPr>
            <w:tcW w:type="dxa" w:w="3168"/>
            <w:shd w:fill="F3F4F6"/>
          </w:tcPr>
          <w:p>
            <w:r>
              <w:rPr>
                <w:b/>
              </w:rPr>
              <w:t>Test Suite Results</w:t>
            </w:r>
          </w:p>
        </w:tc>
        <w:tc>
          <w:tcPr>
            <w:tcW w:type="dxa" w:w="6192"/>
            <w:shd w:fill="FAFAFA"/>
          </w:tcPr>
          <w:p>
            <w:r>
              <w:t>27 / 27 Tests Passed (100% Passing Across 6 Test Suites)</w:t>
            </w:r>
          </w:p>
        </w:tc>
      </w:tr>
      <w:tr>
        <w:tc>
          <w:tcPr>
            <w:tcW w:type="dxa" w:w="3168"/>
            <w:shd w:fill="F3F4F6"/>
          </w:tcPr>
          <w:p>
            <w:r>
              <w:rPr>
                <w:b/>
              </w:rPr>
              <w:t>Report Generated</w:t>
            </w:r>
          </w:p>
        </w:tc>
        <w:tc>
          <w:tcPr>
            <w:tcW w:type="dxa" w:w="6192"/>
            <w:shd w:fill="FAFAFA"/>
          </w:tcPr>
          <w:p>
            <w:r>
              <w:t>October 17, 2026</w:t>
            </w:r>
          </w:p>
        </w:tc>
      </w:tr>
    </w:tbl>
    <w:p>
      <w:pPr>
        <w:spacing w:after="240"/>
      </w:pPr>
    </w:p>
    <w:p>
      <w:pPr>
        <w:pStyle w:val="Heading1"/>
        <w:spacing w:before="240" w:after="80"/>
      </w:pPr>
      <w:r>
        <w:t>1. Executive Task &amp; Milestone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800020"/>
          </w:tcPr>
          <w:p>
            <w:r>
              <w:rPr>
                <w:b/>
                <w:color w:val="FFFFFF"/>
              </w:rPr>
              <w:t>Task Identifier</w:t>
            </w:r>
          </w:p>
        </w:tc>
        <w:tc>
          <w:tcPr>
            <w:tcW w:type="dxa" w:w="2340"/>
            <w:shd w:fill="800020"/>
          </w:tcPr>
          <w:p>
            <w:r>
              <w:rPr>
                <w:b/>
                <w:color w:val="FFFFFF"/>
              </w:rPr>
              <w:t>Scope &amp; Description</w:t>
            </w:r>
          </w:p>
        </w:tc>
        <w:tc>
          <w:tcPr>
            <w:tcW w:type="dxa" w:w="2340"/>
            <w:shd w:fill="800020"/>
          </w:tcPr>
          <w:p>
            <w:r>
              <w:rPr>
                <w:b/>
                <w:color w:val="FFFFFF"/>
              </w:rPr>
              <w:t>Status</w:t>
            </w:r>
          </w:p>
        </w:tc>
        <w:tc>
          <w:tcPr>
            <w:tcW w:type="dxa" w:w="2340"/>
            <w:shd w:fill="800020"/>
          </w:tcPr>
          <w:p>
            <w:r>
              <w:rPr>
                <w:b/>
                <w:color w:val="FFFFFF"/>
              </w:rPr>
              <w:t>Resolution Summary</w:t>
            </w:r>
          </w:p>
        </w:tc>
      </w:tr>
      <w:tr>
        <w:tc>
          <w:tcPr>
            <w:tcW w:type="dxa" w:w="2340"/>
          </w:tcPr>
          <w:p>
            <w:r>
              <w:t>Task 1</w:t>
            </w:r>
          </w:p>
        </w:tc>
        <w:tc>
          <w:tcPr>
            <w:tcW w:type="dxa" w:w="2340"/>
          </w:tcPr>
          <w:p>
            <w:r>
              <w:t>Verify and Fix QR Routing Mismatch</w:t>
            </w:r>
          </w:p>
        </w:tc>
        <w:tc>
          <w:tcPr>
            <w:tcW w:type="dxa" w:w="2340"/>
            <w:shd w:fill="DCFCE7"/>
          </w:tcPr>
          <w:p>
            <w:r>
              <w:rPr>
                <w:b/>
              </w:rPr>
              <w:t>COMPLETE</w:t>
            </w:r>
          </w:p>
        </w:tc>
        <w:tc>
          <w:tcPr>
            <w:tcW w:type="dxa" w:w="2340"/>
          </w:tcPr>
          <w:p>
            <w:r>
              <w:t>Fixed /public/products/:id to singular /public/product/:id (Commit 8ef8138).</w:t>
            </w:r>
          </w:p>
        </w:tc>
      </w:tr>
      <w:tr>
        <w:tc>
          <w:tcPr>
            <w:tcW w:type="dxa" w:w="2340"/>
            <w:shd w:fill="F9FAFB"/>
          </w:tcPr>
          <w:p>
            <w:r>
              <w:t>Task 2</w:t>
            </w:r>
          </w:p>
        </w:tc>
        <w:tc>
          <w:tcPr>
            <w:tcW w:type="dxa" w:w="2340"/>
            <w:shd w:fill="F9FAFB"/>
          </w:tcPr>
          <w:p>
            <w:r>
              <w:t>Audit &amp; Fix createdBy DB Column Type</w:t>
            </w:r>
          </w:p>
        </w:tc>
        <w:tc>
          <w:tcPr>
            <w:tcW w:type="dxa" w:w="2340"/>
            <w:shd w:fill="DCFCE7"/>
          </w:tcPr>
          <w:p>
            <w:r>
              <w:rPr>
                <w:b/>
              </w:rPr>
              <w:t>COMPLETE</w:t>
            </w:r>
          </w:p>
        </w:tc>
        <w:tc>
          <w:tcPr>
            <w:tcW w:type="dxa" w:w="2340"/>
            <w:shd w:fill="F9FAFB"/>
          </w:tcPr>
          <w:p>
            <w:r>
              <w:t>Altered integer to text in Drizzle &amp; Zod with Migration 0002 for Clerk IDs (Commit 142841c).</w:t>
            </w:r>
          </w:p>
        </w:tc>
      </w:tr>
      <w:tr>
        <w:tc>
          <w:tcPr>
            <w:tcW w:type="dxa" w:w="2340"/>
          </w:tcPr>
          <w:p>
            <w:r>
              <w:t>Task 3</w:t>
            </w:r>
          </w:p>
        </w:tc>
        <w:tc>
          <w:tcPr>
            <w:tcW w:type="dxa" w:w="2340"/>
          </w:tcPr>
          <w:p>
            <w:r>
              <w:t>Product-Ingredient Relationship Solution</w:t>
            </w:r>
          </w:p>
        </w:tc>
        <w:tc>
          <w:tcPr>
            <w:tcW w:type="dxa" w:w="2340"/>
            <w:shd w:fill="DCFCE7"/>
          </w:tcPr>
          <w:p>
            <w:r>
              <w:rPr>
                <w:b/>
              </w:rPr>
              <w:t>COMPLETE</w:t>
            </w:r>
          </w:p>
        </w:tc>
        <w:tc>
          <w:tcPr>
            <w:tcW w:type="dxa" w:w="2340"/>
          </w:tcPr>
          <w:p>
            <w:r>
              <w:t>Implemented product_ingredients junction table, relations, migration 0003, API, UI, and 7 integration tests (Commit ddca2dd).</w:t>
            </w:r>
          </w:p>
        </w:tc>
      </w:tr>
      <w:tr>
        <w:tc>
          <w:tcPr>
            <w:tcW w:type="dxa" w:w="2340"/>
            <w:shd w:fill="F9FAFB"/>
          </w:tcPr>
          <w:p>
            <w:r>
              <w:t>Task 4</w:t>
            </w:r>
          </w:p>
        </w:tc>
        <w:tc>
          <w:tcPr>
            <w:tcW w:type="dxa" w:w="2340"/>
            <w:shd w:fill="F9FAFB"/>
          </w:tcPr>
          <w:p>
            <w:r>
              <w:t>English/French Translation Parity &amp; Fix</w:t>
            </w:r>
          </w:p>
        </w:tc>
        <w:tc>
          <w:tcPr>
            <w:tcW w:type="dxa" w:w="2340"/>
            <w:shd w:fill="DCFCE7"/>
          </w:tcPr>
          <w:p>
            <w:r>
              <w:rPr>
                <w:b/>
              </w:rPr>
              <w:t>COMPLETE</w:t>
            </w:r>
          </w:p>
        </w:tc>
        <w:tc>
          <w:tcPr>
            <w:tcW w:type="dxa" w:w="2340"/>
            <w:shd w:fill="F9FAFB"/>
          </w:tcPr>
          <w:p>
            <w:r>
              <w:t>Added missing 'product' namespace to en.json &amp; fr.json, updated public product page to use next-intl keys without fallbacks (Commit 29579ee).</w:t>
            </w:r>
          </w:p>
        </w:tc>
      </w:tr>
      <w:tr>
        <w:tc>
          <w:tcPr>
            <w:tcW w:type="dxa" w:w="2340"/>
          </w:tcPr>
          <w:p>
            <w:r>
              <w:t>Master Task</w:t>
            </w:r>
          </w:p>
        </w:tc>
        <w:tc>
          <w:tcPr>
            <w:tcW w:type="dxa" w:w="2340"/>
          </w:tcPr>
          <w:p>
            <w:r>
              <w:t>Full App Audit, Persistence, Security &amp; Workflows</w:t>
            </w:r>
          </w:p>
        </w:tc>
        <w:tc>
          <w:tcPr>
            <w:tcW w:type="dxa" w:w="2340"/>
            <w:shd w:fill="DCFCE7"/>
          </w:tcPr>
          <w:p>
            <w:r>
              <w:rPr>
                <w:b/>
              </w:rPr>
              <w:t>COMPLETE</w:t>
            </w:r>
          </w:p>
        </w:tc>
        <w:tc>
          <w:tcPr>
            <w:tcW w:type="dxa" w:w="2340"/>
          </w:tcPr>
          <w:p>
            <w:r>
              <w:t>Enabled PGlite filesystem persistence (.pglite/), Clerk user ownership authorization, numeric validation resilience, build lock safety, and 27 integration tests.</w:t>
            </w:r>
          </w:p>
        </w:tc>
      </w:tr>
    </w:tbl>
    <w:p>
      <w:pPr>
        <w:spacing w:after="240"/>
      </w:pPr>
    </w:p>
    <w:p>
      <w:pPr>
        <w:pStyle w:val="Heading1"/>
        <w:spacing w:before="240" w:after="80"/>
      </w:pPr>
      <w:r>
        <w:t>2. Tasks 1 &amp; 2: Routing &amp; Identity Foundation</w:t>
      </w:r>
    </w:p>
    <w:p>
      <w:r>
        <w:rPr>
          <w:b/>
        </w:rPr>
        <w:t xml:space="preserve">Task 1 (QR Route Mismatch): </w:t>
      </w:r>
      <w:r>
        <w:t xml:space="preserve">Resolved critical 404 scan error by replacing </w:t>
      </w:r>
      <w:r>
        <w:rPr>
          <w:b/>
        </w:rPr>
        <w:t>/public/products/:id</w:t>
      </w:r>
      <w:r>
        <w:t xml:space="preserve"> with </w:t>
      </w:r>
      <w:r>
        <w:rPr>
          <w:b/>
        </w:rPr>
        <w:t>/public/product/:id</w:t>
      </w:r>
      <w:r>
        <w:t xml:space="preserve"> in </w:t>
      </w:r>
      <w:r>
        <w:rPr>
          <w:i/>
        </w:rPr>
        <w:t>src/app/[locale]/(auth)/dashboard/products/[id]/qr/page.tsx</w:t>
      </w:r>
      <w:r>
        <w:t xml:space="preserve">. Preserved live SVG/PNG preview, high-resolution PNG download, and browser printing. Verified through typecheck and production build, pushed in commit </w:t>
      </w:r>
      <w:r>
        <w:rPr>
          <w:b/>
        </w:rPr>
        <w:t>8ef8138</w:t>
      </w:r>
      <w:r>
        <w:t>.</w:t>
      </w:r>
    </w:p>
    <w:p>
      <w:r>
        <w:rPr>
          <w:b/>
        </w:rPr>
        <w:t xml:space="preserve">Task 2 (createdBy DB Type): </w:t>
      </w:r>
      <w:r>
        <w:t xml:space="preserve">Resolved type clash between Clerk string user IDs (e.g., user_2bFvj39...) and database integer column. Updated Schema.ts to </w:t>
      </w:r>
      <w:r>
        <w:rPr>
          <w:b/>
        </w:rPr>
        <w:t>text('created_by')</w:t>
      </w:r>
      <w:r>
        <w:t xml:space="preserve"> and configured Zod schemas with union transformation. Generated Drizzle migration </w:t>
      </w:r>
      <w:r>
        <w:rPr>
          <w:i/>
        </w:rPr>
        <w:t>migrations/0002_wild_jane_foster.sql</w:t>
      </w:r>
      <w:r>
        <w:t xml:space="preserve">. Pushed in commit </w:t>
      </w:r>
      <w:r>
        <w:rPr>
          <w:b/>
        </w:rPr>
        <w:t>142841c</w:t>
      </w:r>
      <w:r>
        <w:t>.</w:t>
      </w:r>
    </w:p>
    <w:p>
      <w:pPr>
        <w:pStyle w:val="Heading1"/>
        <w:spacing w:before="240" w:after="80"/>
      </w:pPr>
      <w:r>
        <w:t>3. Task 3: Product–Ingredient Relational Architecture</w:t>
      </w:r>
    </w:p>
    <w:p>
      <w:r>
        <w:rPr>
          <w:b/>
        </w:rPr>
        <w:t xml:space="preserve">Issue &amp; Solution: </w:t>
      </w:r>
      <w:r>
        <w:t xml:space="preserve">Products and ingredients were originally unlinked tables. Winemakers could not assign ingredients to wine bottles, causing e-labels to fail EU Regulation 2021/2117 compliance. Implemented the </w:t>
      </w:r>
      <w:r>
        <w:rPr>
          <w:b/>
        </w:rPr>
        <w:t>product_ingredients</w:t>
      </w:r>
      <w:r>
        <w:t xml:space="preserve"> junction table with CASCADE deletion and unique indexing, Drizzle ORM relations, migration </w:t>
      </w:r>
      <w:r>
        <w:rPr>
          <w:i/>
        </w:rPr>
        <w:t>0003_thick_dark_beast.sql</w:t>
      </w:r>
      <w:r>
        <w:t xml:space="preserve">, dedicated API endpoints, UI checkboxes, and public label display. Pushed in commit </w:t>
      </w:r>
      <w:r>
        <w:rPr>
          <w:b/>
        </w:rPr>
        <w:t>ddca2dd</w:t>
      </w:r>
      <w:r>
        <w:t>.</w:t>
      </w:r>
    </w:p>
    <w:p>
      <w:pPr>
        <w:pStyle w:val="Heading1"/>
        <w:spacing w:before="240" w:after="80"/>
      </w:pPr>
      <w:r>
        <w:t>4. Task 4: Internationalization &amp; Language Parity</w:t>
      </w:r>
    </w:p>
    <w:p>
      <w:r>
        <w:rPr>
          <w:b/>
        </w:rPr>
        <w:t xml:space="preserve">Issue &amp; Solution: </w:t>
      </w:r>
      <w:r>
        <w:t xml:space="preserve">The public product page called useTranslations('product'), but neither en.json nor fr.json had the 'product' namespace. Hardcoded English fallbacks hid the failure in English, causing French visitors on /fr/ to see English text. Added matching 26-key dictionaries to both files, eliminated fallbacks, added 6 automated tests, and verified build. Pushed in commit </w:t>
      </w:r>
      <w:r>
        <w:rPr>
          <w:b/>
        </w:rPr>
        <w:t>29579ee</w:t>
      </w:r>
      <w:r>
        <w:t>.</w:t>
      </w:r>
    </w:p>
    <w:p>
      <w:pPr>
        <w:pStyle w:val="Heading1"/>
        <w:spacing w:before="240" w:after="80"/>
      </w:pPr>
      <w:r>
        <w:t>5. Master Task: End-to-End Reliability, Persistence &amp; Security Hardening</w:t>
      </w:r>
    </w:p>
    <w:p>
      <w:pPr>
        <w:pStyle w:val="Heading2"/>
        <w:spacing w:before="240" w:after="80"/>
      </w:pPr>
      <w:r>
        <w:t>5.1 Confirmed Defect Checklist &amp; Architectural Audit</w:t>
      </w:r>
    </w:p>
    <w:p>
      <w:pPr>
        <w:pStyle w:val="ListBullet"/>
      </w:pPr>
      <w:r>
        <w:rPr>
          <w:b/>
        </w:rPr>
        <w:t xml:space="preserve">Database Ephemerality (Data Loss on Restart): </w:t>
      </w:r>
      <w:r>
        <w:t>PGlite was instantiated via new PGlite() without a storage directory, causing all created products, ingredients, and associations to be lost whenever the server restarted.</w:t>
      </w:r>
    </w:p>
    <w:p>
      <w:pPr>
        <w:pStyle w:val="ListBullet"/>
      </w:pPr>
      <w:r>
        <w:rPr>
          <w:b/>
        </w:rPr>
        <w:t xml:space="preserve">Clerk User Ownership &amp; Authorization Gaps: </w:t>
      </w:r>
      <w:r>
        <w:t>POST /api/products and POST /api/ingredients did not assign createdBy from the authenticated Clerk session, leaving products orphaned. Furthermore, PUT and DELETE endpoints did not check whether the requesting user owned the resource, allowing cross-user mutations.</w:t>
      </w:r>
    </w:p>
    <w:p>
      <w:pPr>
        <w:pStyle w:val="ListBullet"/>
      </w:pPr>
      <w:r>
        <w:rPr>
          <w:b/>
        </w:rPr>
        <w:t xml:space="preserve">Numeric Input Validation Failures in Zod: </w:t>
      </w:r>
      <w:r>
        <w:t>insertProductSchema strictly expected strings for vintage, alcoholContent, kcal, kj, fat, carbohydrates, and sku. Standard forms and API clients submitting numeric values were rejected with 400 validation errors.</w:t>
      </w:r>
    </w:p>
    <w:p>
      <w:pPr>
        <w:pStyle w:val="ListBullet"/>
      </w:pPr>
      <w:r>
        <w:rPr>
          <w:b/>
        </w:rPr>
        <w:t xml:space="preserve">Public E-Label NaN Crash Vulnerability: </w:t>
      </w:r>
      <w:r>
        <w:t>Visiting /public/product/abc parsed 'abc' to NaN and passed NaN into SQL WHERE clauses, failing to trigger the clean 404 notFound() response.</w:t>
      </w:r>
    </w:p>
    <w:p>
      <w:pPr>
        <w:pStyle w:val="ListBullet"/>
      </w:pPr>
      <w:r>
        <w:rPr>
          <w:b/>
        </w:rPr>
        <w:t xml:space="preserve">Invalid Console Error Import in Vercel Blob Route: </w:t>
      </w:r>
      <w:r>
        <w:t>src/app/api/products/upload/route.ts imported error from Node's 'console' package, returning [Function: error] in 400 error payloads instead of a message string.</w:t>
      </w:r>
    </w:p>
    <w:p>
      <w:pPr>
        <w:pStyle w:val="ListBullet"/>
      </w:pPr>
      <w:r>
        <w:rPr>
          <w:b/>
        </w:rPr>
        <w:t xml:space="preserve">Corrupted .gitignore File: </w:t>
      </w:r>
      <w:r>
        <w:t>.gitignore contained raw markdown tags (&lt;CodeBlock language='text' editable&gt;) and failed to exclude .pglite/, local databases, and .env.local files.</w:t>
      </w:r>
    </w:p>
    <w:p>
      <w:pPr>
        <w:pStyle w:val="Heading2"/>
        <w:spacing w:before="240" w:after="80"/>
      </w:pPr>
      <w:r>
        <w:t>5.2 Implemented Engineering Solutions</w:t>
      </w:r>
    </w:p>
    <w:p>
      <w:r>
        <w:rPr>
          <w:b/>
        </w:rPr>
        <w:t>1. Database Persistence Across Restarts &amp; Build Lock Protection (src/libs/DB.ts):</w:t>
        <w:br/>
      </w:r>
      <w:r>
        <w:t>Configured PGlite to persist to the local filesystem at '.pglite/' during normal development and server runtimes, guaranteeing that created wines, ingredients, and relations survive application restarts. Simultaneously implemented an 'isBuild' check (NEXT_PHASE === PHASE_PRODUCTION_BUILD or NODE_ENV === 'test') to safely switch to isolated in-memory instances during production builds and automated tests, completely preventing multi-worker file lock conflicts.</w:t>
      </w:r>
    </w:p>
    <w:p>
      <w:r>
        <w:rPr>
          <w:b/>
        </w:rPr>
        <w:t>2. Current-User Identification &amp; Resource Authorization:</w:t>
        <w:br/>
      </w:r>
      <w:r>
        <w:t>• In POST /api/products &amp; POST /api/ingredients: Extracted { userId } via Clerk's auth() and automatically assigned createdBy: productData.createdBy || userId || null.</w:t>
        <w:br/>
        <w:t>• In GET /api/products: Scoped product listings so authenticated users view their own products plus legacy unassigned products, protecting private records.</w:t>
        <w:br/>
        <w:t>• In PUT &amp; DELETE /api/products/[id], /api/ingredients/[id], and /api/products/[id]/ingredients: Enforced ownership checks returning 403 Forbidden whenever an authenticated user attempts to mutate or delete another user's records.</w:t>
      </w:r>
    </w:p>
    <w:p>
      <w:r>
        <w:rPr>
          <w:b/>
        </w:rPr>
        <w:t>3. Resilient Schema Validation (src/models/Schema.ts):</w:t>
        <w:br/>
      </w:r>
      <w:r>
        <w:t>Updated insertProductSchema so vintage, alcoholContent, kcal, kj, fat, carbohydrates, and sku accept both numeric and string values via union transformation, preventing unnecessary 400 validation rejections.</w:t>
      </w:r>
    </w:p>
    <w:p>
      <w:r>
        <w:rPr>
          <w:b/>
        </w:rPr>
        <w:t>4. Public E-Label Route Hardening &amp; Error Handling:</w:t>
        <w:br/>
      </w:r>
      <w:r>
        <w:t>Added Number.isNaN(productId) check in src/app/[locale]/public/product/[id]/page.tsx triggering Next.js notFound() (HTTP 404). Cleaned up the upload route in src/app/api/products/upload/route.ts to safely extract err.message.</w:t>
      </w:r>
    </w:p>
    <w:p>
      <w:r>
        <w:rPr>
          <w:b/>
        </w:rPr>
        <w:t>5. Clean Security Perimeter (.gitignore):</w:t>
        <w:br/>
      </w:r>
      <w:r>
        <w:t>Removed corrupted markdown tags and established comprehensive gitignore rules for .pglite/, local databases, .env*.local, and build artifacts.</w:t>
      </w:r>
    </w:p>
    <w:p>
      <w:pPr>
        <w:pStyle w:val="Heading2"/>
        <w:spacing w:before="240" w:after="80"/>
      </w:pPr>
      <w:r>
        <w:t>5.3 Verification Across All Critical Workflows</w:t>
      </w:r>
    </w:p>
    <w:tbl>
      <w:tblPr>
        <w:tblW w:type="auto" w:w="0"/>
        <w:jc w:val="center"/>
        <w:tblLook w:firstColumn="1" w:firstRow="1" w:lastColumn="0" w:lastRow="0" w:noHBand="0" w:noVBand="1" w:val="04A0"/>
      </w:tblPr>
      <w:tblGrid>
        <w:gridCol w:w="3120"/>
        <w:gridCol w:w="3120"/>
        <w:gridCol w:w="3120"/>
      </w:tblGrid>
      <w:tr>
        <w:tc>
          <w:tcPr>
            <w:tcW w:type="dxa" w:w="3120"/>
            <w:shd w:fill="334155"/>
          </w:tcPr>
          <w:p>
            <w:r>
              <w:rPr>
                <w:b/>
                <w:color w:val="FFFFFF"/>
              </w:rPr>
              <w:t>Workflow Scenario</w:t>
            </w:r>
          </w:p>
        </w:tc>
        <w:tc>
          <w:tcPr>
            <w:tcW w:type="dxa" w:w="3120"/>
            <w:shd w:fill="334155"/>
          </w:tcPr>
          <w:p>
            <w:r>
              <w:rPr>
                <w:b/>
                <w:color w:val="FFFFFF"/>
              </w:rPr>
              <w:t>Validation Detail</w:t>
            </w:r>
          </w:p>
        </w:tc>
        <w:tc>
          <w:tcPr>
            <w:tcW w:type="dxa" w:w="3120"/>
            <w:shd w:fill="334155"/>
          </w:tcPr>
          <w:p>
            <w:r>
              <w:rPr>
                <w:b/>
                <w:color w:val="FFFFFF"/>
              </w:rPr>
              <w:t>Status</w:t>
            </w:r>
          </w:p>
        </w:tc>
      </w:tr>
      <w:tr>
        <w:tc>
          <w:tcPr>
            <w:tcW w:type="dxa" w:w="2880"/>
          </w:tcPr>
          <w:p>
            <w:r>
              <w:rPr>
                <w:b/>
              </w:rPr>
              <w:t>Workflow A: Product Creation</w:t>
            </w:r>
          </w:p>
        </w:tc>
        <w:tc>
          <w:tcPr>
            <w:tcW w:type="dxa" w:w="4896"/>
          </w:tcPr>
          <w:p>
            <w:r>
              <w:t>Created product with vintage: 2018 (numeric) and alcoholContent: 13.5 (numeric). Clerk userId associated, saved to database, retrieved successfully.</w:t>
            </w:r>
          </w:p>
        </w:tc>
        <w:tc>
          <w:tcPr>
            <w:tcW w:type="dxa" w:w="1872"/>
            <w:shd w:fill="DCFCE7"/>
          </w:tcPr>
          <w:p>
            <w:r>
              <w:rPr>
                <w:b/>
              </w:rPr>
              <w:t>PASSED</w:t>
            </w:r>
          </w:p>
        </w:tc>
      </w:tr>
      <w:tr>
        <w:tc>
          <w:tcPr>
            <w:tcW w:type="dxa" w:w="2880"/>
          </w:tcPr>
          <w:p>
            <w:r>
              <w:rPr>
                <w:b/>
              </w:rPr>
              <w:t>Workflow B: Ingredients &amp; Associations</w:t>
            </w:r>
          </w:p>
        </w:tc>
        <w:tc>
          <w:tcPr>
            <w:tcW w:type="dxa" w:w="4896"/>
          </w:tcPr>
          <w:p>
            <w:r>
              <w:t>Associated multiple ingredients (yeast, sulphites) to product. Retrieved via join. Verified unique index prevents duplicate associations.</w:t>
            </w:r>
          </w:p>
        </w:tc>
        <w:tc>
          <w:tcPr>
            <w:tcW w:type="dxa" w:w="1872"/>
            <w:shd w:fill="DCFCE7"/>
          </w:tcPr>
          <w:p>
            <w:r>
              <w:rPr>
                <w:b/>
              </w:rPr>
              <w:t>PASSED</w:t>
            </w:r>
          </w:p>
        </w:tc>
      </w:tr>
      <w:tr>
        <w:tc>
          <w:tcPr>
            <w:tcW w:type="dxa" w:w="2880"/>
          </w:tcPr>
          <w:p>
            <w:r>
              <w:rPr>
                <w:b/>
              </w:rPr>
              <w:t>Workflow C: Public E-Label &amp; Localization</w:t>
            </w:r>
          </w:p>
        </w:tc>
        <w:tc>
          <w:tcPr>
            <w:tcW w:type="dxa" w:w="4896"/>
          </w:tcPr>
          <w:p>
            <w:r>
              <w:t>Tested translation function createTranslator for all 26 keys in English and French. Verified NaN/invalid ID returns 404 notFound().</w:t>
            </w:r>
          </w:p>
        </w:tc>
        <w:tc>
          <w:tcPr>
            <w:tcW w:type="dxa" w:w="1872"/>
            <w:shd w:fill="DCFCE7"/>
          </w:tcPr>
          <w:p>
            <w:r>
              <w:rPr>
                <w:b/>
              </w:rPr>
              <w:t>PASSED</w:t>
            </w:r>
          </w:p>
        </w:tc>
      </w:tr>
      <w:tr>
        <w:tc>
          <w:tcPr>
            <w:tcW w:type="dxa" w:w="2880"/>
          </w:tcPr>
          <w:p>
            <w:r>
              <w:rPr>
                <w:b/>
              </w:rPr>
              <w:t>Workflow D: Security &amp; Access Control</w:t>
            </w:r>
          </w:p>
        </w:tc>
        <w:tc>
          <w:tcPr>
            <w:tcW w:type="dxa" w:w="4896"/>
          </w:tcPr>
          <w:p>
            <w:r>
              <w:t>Simulated unauthorized user mutating User A's product; successfully rejected with 403 Forbidden. Owner update verified with updatedAt timestamp.</w:t>
            </w:r>
          </w:p>
        </w:tc>
        <w:tc>
          <w:tcPr>
            <w:tcW w:type="dxa" w:w="1872"/>
            <w:shd w:fill="DCFCE7"/>
          </w:tcPr>
          <w:p>
            <w:r>
              <w:rPr>
                <w:b/>
              </w:rPr>
              <w:t>PASSED</w:t>
            </w:r>
          </w:p>
        </w:tc>
      </w:tr>
      <w:tr>
        <w:tc>
          <w:tcPr>
            <w:tcW w:type="dxa" w:w="2880"/>
          </w:tcPr>
          <w:p>
            <w:r>
              <w:rPr>
                <w:b/>
              </w:rPr>
              <w:t>Workflow E: Persistence Across Restarts</w:t>
            </w:r>
          </w:p>
        </w:tc>
        <w:tc>
          <w:tcPr>
            <w:tcW w:type="dxa" w:w="4896"/>
          </w:tcPr>
          <w:p>
            <w:r>
              <w:t>Initialized DB on disk, inserted product and ingredients, closed client (simulating server shutdown). Reopened client on same directory and verified 100% data intact.</w:t>
            </w:r>
          </w:p>
        </w:tc>
        <w:tc>
          <w:tcPr>
            <w:tcW w:type="dxa" w:w="1872"/>
            <w:shd w:fill="DCFCE7"/>
          </w:tcPr>
          <w:p>
            <w:r>
              <w:rPr>
                <w:b/>
              </w:rPr>
              <w:t>PASSED</w:t>
            </w:r>
          </w:p>
        </w:tc>
      </w:tr>
    </w:tbl>
    <w:p>
      <w:pPr>
        <w:spacing w:after="240"/>
      </w:pPr>
    </w:p>
    <w:p>
      <w:pPr>
        <w:pStyle w:val="Heading2"/>
        <w:spacing w:before="240" w:after="80"/>
      </w:pPr>
      <w:r>
        <w:t>5.4 Comprehensive Test Suite Summary</w:t>
      </w:r>
    </w:p>
    <w:p>
      <w:r>
        <w:t>• TypeScript Typecheck (npm run check-types): 0 errors.</w:t>
        <w:br/>
        <w:t>• Vitest Full Test Suite (npm run test): 6 test files, 27 tests passed in 10.09s:</w:t>
        <w:br/>
        <w:t xml:space="preserve">   - src/models/WorkflowsAndReliability.test.ts (7 tests passed)</w:t>
        <w:br/>
        <w:t xml:space="preserve">   - src/models/ProductIngredients.test.ts (7 tests passed)</w:t>
        <w:br/>
        <w:t xml:space="preserve">   - src/locales/Translations.test.ts (6 tests passed)</w:t>
        <w:br/>
        <w:t xml:space="preserve">   - src/hooks/UseMenu.test.ts (4 tests passed)</w:t>
        <w:br/>
        <w:t xml:space="preserve">   - src/utils/Helpers.test.ts (2 tests passed)</w:t>
        <w:br/>
        <w:t xml:space="preserve">   - src/components/ToggleMenuButton.test.tsx (1 test passed)</w:t>
        <w:br/>
        <w:t>• Next.js Production Build (npm run build): 20/20 static and dynamic pages generated with code 0.</w:t>
      </w:r>
    </w:p>
    <w:p>
      <w:pPr>
        <w:pStyle w:val="Heading1"/>
        <w:spacing w:before="240" w:after="80"/>
      </w:pPr>
      <w:r>
        <w:t>6. Viva Preparation: Spoken Script &amp; Key Questions</w:t>
      </w:r>
    </w:p>
    <w:p>
      <w:pPr>
        <w:ind w:left="288"/>
      </w:pPr>
      <w:r>
        <w:rPr>
          <w:b/>
        </w:rPr>
        <w:t>Spoken Script for Sir:</w:t>
        <w:br/>
      </w:r>
      <w:r>
        <w:rPr>
          <w:i/>
        </w:rPr>
        <w:t>"Good morning Sir. In this comprehensive project cycle for the Wine E-Label Platform, we took the application from a partially broken prototype to an enterprise-grade, fully verified system:</w:t>
        <w:br/>
        <w:br/>
        <w:t>1. First, we fixed the QR routing mismatch (/public/products/:id -&gt; /public/product/:id), eliminating 404 scan failures.</w:t>
        <w:br/>
        <w:t>2. Second, we resolved the createdBy type conflict, migrating integer to text with migration 0002 to safely support Clerk user IDs.</w:t>
        <w:br/>
        <w:t>3. Third, we implemented the Many-to-Many product_ingredients relational junction table with migration 0003, cascade deletion, and public display fulfilling EU Regulation 2021/2117.</w:t>
        <w:br/>
        <w:t>4. Fourth, we fixed the internationalization defect by providing complete 26-key English and French dictionaries without fallbacks.</w:t>
        <w:br/>
        <w:t>5. Finally, in the Master Task, we made the database persistent across server restarts using PGlite filesystem storage (.pglite/), implemented Clerk ownership authorization to prevent unauthorized access across accounts, made input validation resilient to numbers and strings, and added regression tests. All 27 tests and the production build pass with 100% success."</w:t>
      </w:r>
    </w:p>
    <w:p>
      <w:pPr>
        <w:pStyle w:val="Heading2"/>
        <w:spacing w:before="240" w:after="80"/>
      </w:pPr>
      <w:r>
        <w:t>Likely Viva Questions &amp; Concise Answers</w:t>
      </w:r>
    </w:p>
    <w:p>
      <w:pPr>
        <w:spacing w:before="120"/>
      </w:pPr>
      <w:r>
        <w:rPr>
          <w:b/>
        </w:rPr>
        <w:t>Q1: How does the application ensure data survives server restarts in local development?</w:t>
      </w:r>
    </w:p>
    <w:p>
      <w:pPr>
        <w:ind w:left="288"/>
      </w:pPr>
      <w:r>
        <w:t>We configured PGlite in src/libs/DB.ts to use a persistent filesystem directory (.pglite/) during local development and server runtimes. During production builds and tests, it automatically runs in-memory to prevent worker lock contention. When a real PostgreSQL connection string (DATABASE_URL) is supplied, it automatically switches to node-postgres.</w:t>
      </w:r>
    </w:p>
    <w:p>
      <w:pPr>
        <w:spacing w:before="120"/>
      </w:pPr>
      <w:r>
        <w:rPr>
          <w:b/>
        </w:rPr>
        <w:t>Q2: How is multi-user authorization enforced across the API endpoints?</w:t>
      </w:r>
    </w:p>
    <w:p>
      <w:pPr>
        <w:ind w:left="288"/>
      </w:pPr>
      <w:r>
        <w:t>We integrated Clerk's auth() helper. When products or ingredients are created, createdBy is automatically stamped with the user ID. When an update or delete request arrives, the backend checks whether the resource's createdBy matches the requesting user. If mismatched, the request is rejected with HTTP 403 Forbidden.</w:t>
      </w:r>
    </w:p>
    <w:p>
      <w:pPr>
        <w:spacing w:before="120"/>
      </w:pPr>
      <w:r>
        <w:rPr>
          <w:b/>
        </w:rPr>
        <w:t>Q3: Why was the Zod schema causing 400 errors for vintage and alcoholContent?</w:t>
      </w:r>
    </w:p>
    <w:p>
      <w:pPr>
        <w:ind w:left="288"/>
      </w:pPr>
      <w:r>
        <w:t>The original schema strictly required string types. When client forms or API consumers submitted numeric values like 2020 or 13.5, Zod threw validation errors. We updated the schema to accept a union of string and number transformed to string, making the API resilient.</w:t>
      </w:r>
    </w:p>
    <w:p>
      <w:pPr>
        <w:pStyle w:val="Heading1"/>
        <w:spacing w:before="240" w:after="80"/>
      </w:pPr>
      <w:r>
        <w:t>7. Local Execution Instructions</w:t>
      </w:r>
    </w:p>
    <w:p>
      <w:r>
        <w:t>To run the application locally from scratch:</w:t>
        <w:br/>
        <w:t>1. Install dependencies: npm install (or pnpm install)</w:t>
        <w:br/>
        <w:t>2. Run typecheck: npm run check-types</w:t>
        <w:br/>
        <w:t>3. Run automated tests: npm run test</w:t>
        <w:br/>
        <w:t>4. Start local development server: npm run dev</w:t>
        <w:br/>
        <w:t xml:space="preserve">   - Access dashboard: http://localhost:3000/dashboard</w:t>
        <w:br/>
        <w:t xml:space="preserve">   - Access public e-label: http://localhost:3000/public/product/1</w:t>
        <w:br/>
        <w:t xml:space="preserve">   - Local database automatically initializes in .pglite/ and persists all records across restarts.</w:t>
        <w:br/>
        <w:t>5. Build for production: npm run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