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846CAB" w:rsidR="00043B70" w:rsidP="00043B70" w:rsidRDefault="00043B70" w14:paraId="34725967" w14:textId="60222DA7">
      <w:pPr>
        <w:rPr>
          <w:rStyle w:val="Strong"/>
          <w:rFonts w:asciiTheme="majorHAnsi" w:hAnsiTheme="majorHAnsi" w:eastAsiaTheme="majorEastAsia" w:cstheme="majorBidi"/>
          <w:color w:val="2F5496" w:themeColor="accent1" w:themeShade="BF"/>
          <w:sz w:val="32"/>
          <w:szCs w:val="29"/>
        </w:rPr>
      </w:pPr>
      <w:r w:rsidRPr="00846CAB">
        <w:rPr>
          <w:rStyle w:val="Strong"/>
          <w:rFonts w:asciiTheme="majorHAnsi" w:hAnsiTheme="majorHAnsi" w:eastAsiaTheme="majorEastAsia" w:cstheme="majorBidi"/>
          <w:color w:val="2F5496" w:themeColor="accent1" w:themeShade="BF"/>
          <w:sz w:val="32"/>
          <w:szCs w:val="29"/>
        </w:rPr>
        <w:t>Hackathon Problem Statement: AI-Powered CIBIL Score System for Macro Finance Businesses</w:t>
      </w:r>
    </w:p>
    <w:p w:rsidRPr="00043B70" w:rsidR="00043B70" w:rsidP="00043B70" w:rsidRDefault="00043B70" w14:paraId="06268CF2" w14:textId="48D52828">
      <w:pPr>
        <w:pStyle w:val="Heading2"/>
        <w:rPr>
          <w:rStyle w:val="Strong"/>
        </w:rPr>
      </w:pPr>
      <w:r w:rsidRPr="00043B70">
        <w:rPr>
          <w:rStyle w:val="Strong"/>
        </w:rPr>
        <w:t>Problem Context:</w:t>
      </w:r>
    </w:p>
    <w:p w:rsidRPr="00043B70" w:rsidR="00043B70" w:rsidP="00043B70" w:rsidRDefault="00043B70" w14:paraId="0FF9DC29" w14:textId="77777777">
      <w:pPr>
        <w:jc w:val="both"/>
        <w:rPr>
          <w:lang w:val="en-IN"/>
        </w:rPr>
      </w:pPr>
      <w:r w:rsidRPr="00043B70">
        <w:rPr>
          <w:lang w:val="en-IN"/>
        </w:rPr>
        <w:t>In the macro-finance industry, credit risk assessment is crucial for making informed lending decisions. Traditional CIBIL score systems primarily cater to individual borrowers and large businesses, often overlooking emerging enterprises, MSMEs, and startups that lack extensive credit history. This creates challenges for financial institutions, NBFCs, and fintech companies in assessing the creditworthiness of these businesses.</w:t>
      </w:r>
    </w:p>
    <w:p w:rsidRPr="00043B70" w:rsidR="00043B70" w:rsidP="00043B70" w:rsidRDefault="00043B70" w14:paraId="7F7FC5DE" w14:textId="77777777">
      <w:pPr>
        <w:jc w:val="both"/>
        <w:rPr>
          <w:lang w:val="en-IN"/>
        </w:rPr>
      </w:pPr>
      <w:r w:rsidRPr="00043B70">
        <w:rPr>
          <w:lang w:val="en-IN"/>
        </w:rPr>
        <w:t xml:space="preserve">With advancements in AI and machine learning, an intelligent </w:t>
      </w:r>
      <w:r w:rsidRPr="00043B70">
        <w:rPr>
          <w:b/>
          <w:bCs/>
          <w:lang w:val="en-IN"/>
        </w:rPr>
        <w:t>CIBIL-like credit scoring system</w:t>
      </w:r>
      <w:r w:rsidRPr="00043B70">
        <w:rPr>
          <w:lang w:val="en-IN"/>
        </w:rPr>
        <w:t xml:space="preserve"> tailored for macro-finance businesses can enhance risk assessment, expand financial inclusion, and improve lending efficiency</w:t>
      </w:r>
    </w:p>
    <w:p w:rsidRPr="00043B70" w:rsidR="00043B70" w:rsidP="00043B70" w:rsidRDefault="00043B70" w14:paraId="1FCF1228" w14:textId="77777777">
      <w:pPr>
        <w:pStyle w:val="Heading2"/>
        <w:rPr>
          <w:rStyle w:val="Strong"/>
        </w:rPr>
      </w:pPr>
      <w:r w:rsidRPr="00043B70">
        <w:rPr>
          <w:rStyle w:val="Strong"/>
        </w:rPr>
        <w:t>Problem Statement:</w:t>
      </w:r>
    </w:p>
    <w:p w:rsidRPr="00043B70" w:rsidR="00043B70" w:rsidP="00043B70" w:rsidRDefault="00043B70" w14:paraId="65F858B4" w14:textId="77777777">
      <w:pPr>
        <w:jc w:val="both"/>
        <w:rPr>
          <w:lang w:val="en-IN"/>
        </w:rPr>
      </w:pPr>
      <w:r w:rsidRPr="00043B70">
        <w:rPr>
          <w:lang w:val="en-IN"/>
        </w:rPr>
        <w:t xml:space="preserve">Develop an </w:t>
      </w:r>
      <w:r w:rsidRPr="00043B70">
        <w:rPr>
          <w:b/>
          <w:bCs/>
          <w:lang w:val="en-IN"/>
        </w:rPr>
        <w:t>AI-powered CIBIL Score System</w:t>
      </w:r>
      <w:r w:rsidRPr="00043B70">
        <w:rPr>
          <w:lang w:val="en-IN"/>
        </w:rPr>
        <w:t xml:space="preserve"> that evaluates the creditworthiness of macro-finance businesses, including MSMEs, startups, and high-risk enterprises, by leveraging alternative financial data, transaction patterns, and predictive analytics. The system should:</w:t>
      </w:r>
    </w:p>
    <w:p w:rsidRPr="00043B70" w:rsidR="00043B70" w:rsidP="00043B70" w:rsidRDefault="00043B70" w14:paraId="036FD8DF" w14:textId="16777787">
      <w:pPr>
        <w:numPr>
          <w:ilvl w:val="0"/>
          <w:numId w:val="2"/>
        </w:numPr>
        <w:jc w:val="both"/>
        <w:rPr>
          <w:lang w:val="en-IN"/>
        </w:rPr>
      </w:pPr>
      <w:r w:rsidRPr="00043B70">
        <w:rPr>
          <w:b/>
          <w:bCs/>
          <w:lang w:val="en-IN"/>
        </w:rPr>
        <w:t>Enhance Credit Scoring Accuracy</w:t>
      </w:r>
      <w:r w:rsidRPr="00043B70">
        <w:rPr>
          <w:lang w:val="en-IN"/>
        </w:rPr>
        <w:t xml:space="preserve"> – Move beyond traditional CIBIL score methodologies by integrating AI/ML techniques to analyse financial transactions, cash flows, business growth, and external economic factors.</w:t>
      </w:r>
    </w:p>
    <w:p w:rsidRPr="00043B70" w:rsidR="00043B70" w:rsidP="00043B70" w:rsidRDefault="00043B70" w14:paraId="74DF9091" w14:textId="77777777">
      <w:pPr>
        <w:numPr>
          <w:ilvl w:val="0"/>
          <w:numId w:val="2"/>
        </w:numPr>
        <w:jc w:val="both"/>
        <w:rPr>
          <w:lang w:val="en-IN"/>
        </w:rPr>
      </w:pPr>
      <w:r w:rsidRPr="00043B70">
        <w:rPr>
          <w:b/>
          <w:bCs/>
          <w:lang w:val="en-IN"/>
        </w:rPr>
        <w:t>Leverage Alternative Data Sources</w:t>
      </w:r>
      <w:r w:rsidRPr="00043B70">
        <w:rPr>
          <w:lang w:val="en-IN"/>
        </w:rPr>
        <w:t xml:space="preserve"> – Utilize banking transaction history, GST filings, e-commerce sales, supplier payments, digital invoices, and even social media business activity to build a comprehensive credit score.</w:t>
      </w:r>
    </w:p>
    <w:p w:rsidRPr="00043B70" w:rsidR="00043B70" w:rsidP="00043B70" w:rsidRDefault="00043B70" w14:paraId="3FB9F54D" w14:textId="77777777">
      <w:pPr>
        <w:numPr>
          <w:ilvl w:val="0"/>
          <w:numId w:val="2"/>
        </w:numPr>
        <w:jc w:val="both"/>
        <w:rPr>
          <w:lang w:val="en-IN"/>
        </w:rPr>
      </w:pPr>
      <w:r w:rsidRPr="00043B70">
        <w:rPr>
          <w:b/>
          <w:bCs/>
          <w:lang w:val="en-IN"/>
        </w:rPr>
        <w:t>Enable Real-time Credit Scoring</w:t>
      </w:r>
      <w:r w:rsidRPr="00043B70">
        <w:rPr>
          <w:lang w:val="en-IN"/>
        </w:rPr>
        <w:t xml:space="preserve"> – Provide instant, AI-generated credit scores based on real-time financial behavior and macroeconomic indicators.</w:t>
      </w:r>
    </w:p>
    <w:p w:rsidRPr="00043B70" w:rsidR="00043B70" w:rsidP="00043B70" w:rsidRDefault="00043B70" w14:paraId="5C0450BB" w14:textId="77777777">
      <w:pPr>
        <w:numPr>
          <w:ilvl w:val="0"/>
          <w:numId w:val="2"/>
        </w:numPr>
        <w:jc w:val="both"/>
        <w:rPr>
          <w:lang w:val="en-IN"/>
        </w:rPr>
      </w:pPr>
      <w:r w:rsidRPr="00043B70">
        <w:rPr>
          <w:b/>
          <w:bCs/>
          <w:lang w:val="en-IN"/>
        </w:rPr>
        <w:t>Improve Financial Inclusion</w:t>
      </w:r>
      <w:r w:rsidRPr="00043B70">
        <w:rPr>
          <w:lang w:val="en-IN"/>
        </w:rPr>
        <w:t xml:space="preserve"> – Ensure that creditworthy businesses without traditional credit history still receive fair financial assessment and access to loans.</w:t>
      </w:r>
    </w:p>
    <w:p w:rsidRPr="00043B70" w:rsidR="00043B70" w:rsidP="00043B70" w:rsidRDefault="00043B70" w14:paraId="2C99F3E5" w14:textId="77777777">
      <w:pPr>
        <w:numPr>
          <w:ilvl w:val="0"/>
          <w:numId w:val="2"/>
        </w:numPr>
        <w:jc w:val="both"/>
        <w:rPr>
          <w:lang w:val="en-IN"/>
        </w:rPr>
      </w:pPr>
      <w:r w:rsidRPr="00043B70">
        <w:rPr>
          <w:b/>
          <w:bCs/>
          <w:lang w:val="en-IN"/>
        </w:rPr>
        <w:t>Predict Loan Default Risks</w:t>
      </w:r>
      <w:r w:rsidRPr="00043B70">
        <w:rPr>
          <w:lang w:val="en-IN"/>
        </w:rPr>
        <w:t xml:space="preserve"> – Implement risk prediction models that </w:t>
      </w:r>
      <w:proofErr w:type="spellStart"/>
      <w:r w:rsidRPr="00043B70">
        <w:rPr>
          <w:lang w:val="en-IN"/>
        </w:rPr>
        <w:t>analyze</w:t>
      </w:r>
      <w:proofErr w:type="spellEnd"/>
      <w:r w:rsidRPr="00043B70">
        <w:rPr>
          <w:lang w:val="en-IN"/>
        </w:rPr>
        <w:t xml:space="preserve"> past patterns and forecast the likelihood of loan defaults for macro-finance businesses.</w:t>
      </w:r>
    </w:p>
    <w:p w:rsidRPr="00043B70" w:rsidR="00043B70" w:rsidP="00043B70" w:rsidRDefault="00043B70" w14:paraId="292E697E" w14:textId="77777777">
      <w:pPr>
        <w:numPr>
          <w:ilvl w:val="0"/>
          <w:numId w:val="2"/>
        </w:numPr>
        <w:jc w:val="both"/>
        <w:rPr>
          <w:lang w:val="en-IN"/>
        </w:rPr>
      </w:pPr>
      <w:r w:rsidRPr="00043B70">
        <w:rPr>
          <w:b/>
          <w:bCs/>
          <w:lang w:val="en-IN"/>
        </w:rPr>
        <w:t>Ensure Regulatory Compliance</w:t>
      </w:r>
      <w:r w:rsidRPr="00043B70">
        <w:rPr>
          <w:lang w:val="en-IN"/>
        </w:rPr>
        <w:t xml:space="preserve"> – Align with financial regulations, including RBI, SEBI, and global best practices, ensuring ethical and transparent AI-driven decision-making.</w:t>
      </w:r>
    </w:p>
    <w:p w:rsidR="00043B70" w:rsidP="00043B70" w:rsidRDefault="00043B70" w14:paraId="7BCA3CCF" w14:textId="749E7ADB">
      <w:pPr>
        <w:numPr>
          <w:ilvl w:val="0"/>
          <w:numId w:val="2"/>
        </w:numPr>
        <w:jc w:val="both"/>
        <w:rPr>
          <w:lang w:val="en-IN"/>
        </w:rPr>
      </w:pPr>
      <w:r w:rsidRPr="00043B70">
        <w:rPr>
          <w:b/>
          <w:bCs/>
          <w:lang w:val="en-IN"/>
        </w:rPr>
        <w:t>Provide an Explainable AI Model</w:t>
      </w:r>
      <w:r w:rsidRPr="00043B70">
        <w:rPr>
          <w:lang w:val="en-IN"/>
        </w:rPr>
        <w:t xml:space="preserve"> – Allow financial institutions to understand the decision-making process, ensuring trust and compliance in lending operations</w:t>
      </w:r>
      <w:r>
        <w:rPr>
          <w:lang w:val="en-IN"/>
        </w:rPr>
        <w:t>.</w:t>
      </w:r>
    </w:p>
    <w:p w:rsidR="00043B70" w:rsidP="00043B70" w:rsidRDefault="00043B70" w14:paraId="1E9FECB5" w14:textId="77777777">
      <w:pPr>
        <w:jc w:val="both"/>
        <w:rPr>
          <w:b/>
          <w:bCs/>
          <w:lang w:val="en-IN"/>
        </w:rPr>
      </w:pPr>
    </w:p>
    <w:p w:rsidRPr="00043B70" w:rsidR="00043B70" w:rsidP="00043B70" w:rsidRDefault="00043B70" w14:paraId="35DCAAC4" w14:textId="784893B9">
      <w:pPr>
        <w:pStyle w:val="Heading2"/>
        <w:rPr>
          <w:rStyle w:val="Strong"/>
          <w:b w:val="0"/>
          <w:bCs w:val="0"/>
        </w:rPr>
      </w:pPr>
      <w:r w:rsidRPr="00043B70">
        <w:rPr>
          <w:rStyle w:val="Strong"/>
        </w:rPr>
        <w:t>Expected Features &amp; Functionalities</w:t>
      </w:r>
      <w:r w:rsidRPr="00043B70">
        <w:rPr>
          <w:rStyle w:val="Strong"/>
          <w:b w:val="0"/>
          <w:bCs w:val="0"/>
        </w:rPr>
        <w:t>:</w:t>
      </w:r>
    </w:p>
    <w:p w:rsidRPr="00043B70" w:rsidR="00043B70" w:rsidP="00043B70" w:rsidRDefault="00043B70" w14:paraId="6D8FF233" w14:textId="77777777">
      <w:pPr>
        <w:jc w:val="both"/>
        <w:rPr>
          <w:b/>
          <w:bCs/>
          <w:lang w:val="en-IN"/>
        </w:rPr>
      </w:pPr>
      <w:r w:rsidRPr="00043B70">
        <w:rPr>
          <w:b/>
          <w:bCs/>
          <w:lang w:val="en-IN"/>
        </w:rPr>
        <w:t>1. Data Ingestion &amp; Processing:</w:t>
      </w:r>
    </w:p>
    <w:p w:rsidRPr="00043B70" w:rsidR="00043B70" w:rsidP="00043B70" w:rsidRDefault="00043B70" w14:paraId="464B75EE" w14:textId="77777777">
      <w:pPr>
        <w:numPr>
          <w:ilvl w:val="0"/>
          <w:numId w:val="3"/>
        </w:numPr>
        <w:jc w:val="both"/>
        <w:rPr>
          <w:lang w:val="en-IN"/>
        </w:rPr>
      </w:pPr>
      <w:r w:rsidRPr="00043B70">
        <w:rPr>
          <w:lang w:val="en-IN"/>
        </w:rPr>
        <w:t>Collect financial data from sources like bank statements, tax returns, transaction logs, and supply chain records.</w:t>
      </w:r>
    </w:p>
    <w:p w:rsidRPr="00043B70" w:rsidR="00043B70" w:rsidP="00043B70" w:rsidRDefault="00043B70" w14:paraId="57F7F869" w14:textId="77777777">
      <w:pPr>
        <w:numPr>
          <w:ilvl w:val="0"/>
          <w:numId w:val="3"/>
        </w:numPr>
        <w:jc w:val="both"/>
        <w:rPr>
          <w:lang w:val="en-IN"/>
        </w:rPr>
      </w:pPr>
      <w:r w:rsidRPr="00043B70">
        <w:rPr>
          <w:lang w:val="en-IN"/>
        </w:rPr>
        <w:t>Integrate AI-based Natural Language Processing (NLP) to extract insights from business contracts, social media, and online reviews.</w:t>
      </w:r>
    </w:p>
    <w:p w:rsidRPr="00043B70" w:rsidR="00043B70" w:rsidP="00043B70" w:rsidRDefault="00043B70" w14:paraId="5F01C2E3" w14:textId="77777777">
      <w:pPr>
        <w:jc w:val="both"/>
        <w:rPr>
          <w:b/>
          <w:bCs/>
          <w:lang w:val="en-IN"/>
        </w:rPr>
      </w:pPr>
      <w:r w:rsidRPr="00043B70">
        <w:rPr>
          <w:b/>
          <w:bCs/>
          <w:lang w:val="en-IN"/>
        </w:rPr>
        <w:t>2. AI-Powered Credit Scoring Engine:</w:t>
      </w:r>
    </w:p>
    <w:p w:rsidRPr="00043B70" w:rsidR="00043B70" w:rsidP="00043B70" w:rsidRDefault="00043B70" w14:paraId="619E6A23" w14:textId="77777777">
      <w:pPr>
        <w:numPr>
          <w:ilvl w:val="0"/>
          <w:numId w:val="4"/>
        </w:numPr>
        <w:jc w:val="both"/>
        <w:rPr>
          <w:lang w:val="en-IN"/>
        </w:rPr>
      </w:pPr>
      <w:r w:rsidRPr="00043B70">
        <w:rPr>
          <w:lang w:val="en-IN"/>
        </w:rPr>
        <w:t xml:space="preserve">Use ML models like </w:t>
      </w:r>
      <w:r w:rsidRPr="00043B70">
        <w:rPr>
          <w:b/>
          <w:bCs/>
          <w:lang w:val="en-IN"/>
        </w:rPr>
        <w:t xml:space="preserve">Random Forest, </w:t>
      </w:r>
      <w:proofErr w:type="spellStart"/>
      <w:r w:rsidRPr="00043B70">
        <w:rPr>
          <w:b/>
          <w:bCs/>
          <w:lang w:val="en-IN"/>
        </w:rPr>
        <w:t>XGBoost</w:t>
      </w:r>
      <w:proofErr w:type="spellEnd"/>
      <w:r w:rsidRPr="00043B70">
        <w:rPr>
          <w:b/>
          <w:bCs/>
          <w:lang w:val="en-IN"/>
        </w:rPr>
        <w:t>, and Neural Networks</w:t>
      </w:r>
      <w:r w:rsidRPr="00043B70">
        <w:rPr>
          <w:lang w:val="en-IN"/>
        </w:rPr>
        <w:t xml:space="preserve"> to calculate credit scores dynamically.</w:t>
      </w:r>
    </w:p>
    <w:p w:rsidRPr="00043B70" w:rsidR="00043B70" w:rsidP="00043B70" w:rsidRDefault="00043B70" w14:paraId="155A9B3B" w14:textId="77777777">
      <w:pPr>
        <w:numPr>
          <w:ilvl w:val="0"/>
          <w:numId w:val="4"/>
        </w:numPr>
        <w:jc w:val="both"/>
        <w:rPr>
          <w:lang w:val="en-IN"/>
        </w:rPr>
      </w:pPr>
      <w:r w:rsidRPr="00043B70">
        <w:rPr>
          <w:lang w:val="en-IN"/>
        </w:rPr>
        <w:t xml:space="preserve">Apply clustering techniques to classify businesses into </w:t>
      </w:r>
      <w:r w:rsidRPr="00043B70">
        <w:rPr>
          <w:b/>
          <w:bCs/>
          <w:lang w:val="en-IN"/>
        </w:rPr>
        <w:t>low-risk, medium-risk, and high-risk</w:t>
      </w:r>
      <w:r w:rsidRPr="00043B70">
        <w:rPr>
          <w:lang w:val="en-IN"/>
        </w:rPr>
        <w:t xml:space="preserve"> categories.</w:t>
      </w:r>
    </w:p>
    <w:p w:rsidRPr="00043B70" w:rsidR="00043B70" w:rsidP="00043B70" w:rsidRDefault="00043B70" w14:paraId="5001EA18" w14:textId="77777777">
      <w:pPr>
        <w:jc w:val="both"/>
        <w:rPr>
          <w:b/>
          <w:bCs/>
          <w:lang w:val="en-IN"/>
        </w:rPr>
      </w:pPr>
      <w:r w:rsidRPr="00043B70">
        <w:rPr>
          <w:b/>
          <w:bCs/>
          <w:lang w:val="en-IN"/>
        </w:rPr>
        <w:t>3. Risk Assessment Dashboard:</w:t>
      </w:r>
    </w:p>
    <w:p w:rsidRPr="00043B70" w:rsidR="00043B70" w:rsidP="00043B70" w:rsidRDefault="00043B70" w14:paraId="747E7561" w14:textId="77777777">
      <w:pPr>
        <w:numPr>
          <w:ilvl w:val="0"/>
          <w:numId w:val="5"/>
        </w:numPr>
        <w:jc w:val="both"/>
        <w:rPr>
          <w:lang w:val="en-IN"/>
        </w:rPr>
      </w:pPr>
      <w:r w:rsidRPr="00043B70">
        <w:rPr>
          <w:lang w:val="en-IN"/>
        </w:rPr>
        <w:t xml:space="preserve">Provide a </w:t>
      </w:r>
      <w:r w:rsidRPr="00043B70">
        <w:rPr>
          <w:b/>
          <w:bCs/>
          <w:lang w:val="en-IN"/>
        </w:rPr>
        <w:t>visual representation</w:t>
      </w:r>
      <w:r w:rsidRPr="00043B70">
        <w:rPr>
          <w:lang w:val="en-IN"/>
        </w:rPr>
        <w:t xml:space="preserve"> of financial health, creditworthiness trends, and risk factors.</w:t>
      </w:r>
    </w:p>
    <w:p w:rsidRPr="00043B70" w:rsidR="00043B70" w:rsidP="00043B70" w:rsidRDefault="00043B70" w14:paraId="326A0233" w14:textId="77777777">
      <w:pPr>
        <w:numPr>
          <w:ilvl w:val="0"/>
          <w:numId w:val="5"/>
        </w:numPr>
        <w:jc w:val="both"/>
        <w:rPr>
          <w:lang w:val="en-IN"/>
        </w:rPr>
      </w:pPr>
      <w:r w:rsidRPr="00043B70">
        <w:rPr>
          <w:lang w:val="en-IN"/>
        </w:rPr>
        <w:t xml:space="preserve">Generate </w:t>
      </w:r>
      <w:r w:rsidRPr="00043B70">
        <w:rPr>
          <w:b/>
          <w:bCs/>
          <w:lang w:val="en-IN"/>
        </w:rPr>
        <w:t>real-time credit reports</w:t>
      </w:r>
      <w:r w:rsidRPr="00043B70">
        <w:rPr>
          <w:lang w:val="en-IN"/>
        </w:rPr>
        <w:t xml:space="preserve"> with justifications for score changes.</w:t>
      </w:r>
    </w:p>
    <w:p w:rsidRPr="00043B70" w:rsidR="00043B70" w:rsidP="00043B70" w:rsidRDefault="00043B70" w14:paraId="27E33106" w14:textId="77777777">
      <w:pPr>
        <w:jc w:val="both"/>
        <w:rPr>
          <w:b/>
          <w:bCs/>
          <w:lang w:val="en-IN"/>
        </w:rPr>
      </w:pPr>
      <w:r w:rsidRPr="00043B70">
        <w:rPr>
          <w:b/>
          <w:bCs/>
          <w:lang w:val="en-IN"/>
        </w:rPr>
        <w:t>4. Explainable AI (XAI) Module:</w:t>
      </w:r>
    </w:p>
    <w:p w:rsidRPr="00043B70" w:rsidR="00043B70" w:rsidP="00043B70" w:rsidRDefault="00043B70" w14:paraId="51DC8C7E" w14:textId="77777777">
      <w:pPr>
        <w:numPr>
          <w:ilvl w:val="0"/>
          <w:numId w:val="6"/>
        </w:numPr>
        <w:jc w:val="both"/>
        <w:rPr>
          <w:lang w:val="en-IN"/>
        </w:rPr>
      </w:pPr>
      <w:r w:rsidRPr="00043B70">
        <w:rPr>
          <w:lang w:val="en-IN"/>
        </w:rPr>
        <w:t xml:space="preserve">Ensure </w:t>
      </w:r>
      <w:r w:rsidRPr="00043B70">
        <w:rPr>
          <w:b/>
          <w:bCs/>
          <w:lang w:val="en-IN"/>
        </w:rPr>
        <w:t>transparency</w:t>
      </w:r>
      <w:r w:rsidRPr="00043B70">
        <w:rPr>
          <w:lang w:val="en-IN"/>
        </w:rPr>
        <w:t xml:space="preserve"> by explaining why a business was assigned a particular credit score.</w:t>
      </w:r>
    </w:p>
    <w:p w:rsidRPr="00043B70" w:rsidR="00043B70" w:rsidP="00043B70" w:rsidRDefault="00043B70" w14:paraId="1506AB65" w14:textId="77777777">
      <w:pPr>
        <w:numPr>
          <w:ilvl w:val="0"/>
          <w:numId w:val="6"/>
        </w:numPr>
        <w:jc w:val="both"/>
        <w:rPr>
          <w:lang w:val="en-IN"/>
        </w:rPr>
      </w:pPr>
      <w:r w:rsidRPr="00043B70">
        <w:rPr>
          <w:lang w:val="en-IN"/>
        </w:rPr>
        <w:t xml:space="preserve">Highlight </w:t>
      </w:r>
      <w:r w:rsidRPr="00043B70">
        <w:rPr>
          <w:b/>
          <w:bCs/>
          <w:lang w:val="en-IN"/>
        </w:rPr>
        <w:t>key financial indicators</w:t>
      </w:r>
      <w:r w:rsidRPr="00043B70">
        <w:rPr>
          <w:lang w:val="en-IN"/>
        </w:rPr>
        <w:t xml:space="preserve"> influencing the score.</w:t>
      </w:r>
    </w:p>
    <w:p w:rsidRPr="00043B70" w:rsidR="00043B70" w:rsidP="00043B70" w:rsidRDefault="00043B70" w14:paraId="3BEA1191" w14:textId="77777777">
      <w:pPr>
        <w:jc w:val="both"/>
        <w:rPr>
          <w:b/>
          <w:bCs/>
          <w:lang w:val="en-IN"/>
        </w:rPr>
      </w:pPr>
      <w:r w:rsidRPr="00043B70">
        <w:rPr>
          <w:b/>
          <w:bCs/>
          <w:lang w:val="en-IN"/>
        </w:rPr>
        <w:t>5. API for Integration with Banks &amp; FinTechs:</w:t>
      </w:r>
    </w:p>
    <w:p w:rsidRPr="00043B70" w:rsidR="00043B70" w:rsidP="00043B70" w:rsidRDefault="00043B70" w14:paraId="1DB0B348" w14:textId="77777777">
      <w:pPr>
        <w:numPr>
          <w:ilvl w:val="0"/>
          <w:numId w:val="7"/>
        </w:numPr>
        <w:jc w:val="both"/>
        <w:rPr>
          <w:lang w:val="en-IN"/>
        </w:rPr>
      </w:pPr>
      <w:r w:rsidRPr="00043B70">
        <w:rPr>
          <w:lang w:val="en-IN"/>
        </w:rPr>
        <w:t xml:space="preserve">Offer </w:t>
      </w:r>
      <w:r w:rsidRPr="00043B70">
        <w:rPr>
          <w:b/>
          <w:bCs/>
          <w:lang w:val="en-IN"/>
        </w:rPr>
        <w:t>APIs</w:t>
      </w:r>
      <w:r w:rsidRPr="00043B70">
        <w:rPr>
          <w:lang w:val="en-IN"/>
        </w:rPr>
        <w:t xml:space="preserve"> that financial institutions can integrate into their existing systems for </w:t>
      </w:r>
      <w:r w:rsidRPr="00043B70">
        <w:rPr>
          <w:b/>
          <w:bCs/>
          <w:lang w:val="en-IN"/>
        </w:rPr>
        <w:t>instant credit assessment</w:t>
      </w:r>
    </w:p>
    <w:p w:rsidRPr="00043B70" w:rsidR="00043B70" w:rsidP="00043B70" w:rsidRDefault="00043B70" w14:paraId="7A2CCD46" w14:textId="77777777">
      <w:pPr>
        <w:pStyle w:val="Heading2"/>
        <w:rPr>
          <w:rFonts w:eastAsia="Times New Roman"/>
          <w:sz w:val="36"/>
          <w:szCs w:val="36"/>
          <w:lang w:val="en-IN" w:bidi="hi-IN"/>
        </w:rPr>
      </w:pPr>
      <w:r w:rsidRPr="00043B70">
        <w:rPr>
          <w:rStyle w:val="Strong"/>
        </w:rPr>
        <w:t>Impact &amp; Benefits:</w:t>
      </w:r>
    </w:p>
    <w:p w:rsidRPr="00846CAB" w:rsidR="00043B70" w:rsidP="00043B70" w:rsidRDefault="00043B70" w14:paraId="6F7D3B0D" w14:textId="77777777">
      <w:pPr>
        <w:pStyle w:val="NormalWeb"/>
        <w:numPr>
          <w:ilvl w:val="0"/>
          <w:numId w:val="8"/>
        </w:numPr>
        <w:rPr>
          <w:rFonts w:asciiTheme="minorHAnsi" w:hAnsiTheme="minorHAnsi" w:eastAsiaTheme="minorEastAsia" w:cstheme="minorBidi"/>
          <w:sz w:val="22"/>
          <w:szCs w:val="22"/>
          <w:lang w:eastAsia="en-US" w:bidi="ar-SA"/>
        </w:rPr>
      </w:pPr>
      <w:r w:rsidRPr="00846CAB">
        <w:rPr>
          <w:rFonts w:asciiTheme="minorHAnsi" w:hAnsiTheme="minorHAnsi" w:eastAsiaTheme="minorEastAsia" w:cstheme="minorBidi"/>
          <w:b/>
          <w:bCs/>
          <w:sz w:val="22"/>
          <w:szCs w:val="22"/>
          <w:lang w:eastAsia="en-US" w:bidi="ar-SA"/>
        </w:rPr>
        <w:t>Faster Loan Approvals</w:t>
      </w:r>
      <w:r w:rsidRPr="00846CAB">
        <w:rPr>
          <w:rFonts w:asciiTheme="minorHAnsi" w:hAnsiTheme="minorHAnsi" w:eastAsiaTheme="minorEastAsia" w:cstheme="minorBidi"/>
          <w:sz w:val="22"/>
          <w:szCs w:val="22"/>
          <w:lang w:eastAsia="en-US" w:bidi="ar-SA"/>
        </w:rPr>
        <w:t xml:space="preserve"> – Automates credit evaluation, reducing manual effort and processing time.</w:t>
      </w:r>
    </w:p>
    <w:p w:rsidRPr="00846CAB" w:rsidR="00043B70" w:rsidP="00043B70" w:rsidRDefault="00043B70" w14:paraId="72730422" w14:textId="77777777">
      <w:pPr>
        <w:pStyle w:val="NormalWeb"/>
        <w:numPr>
          <w:ilvl w:val="0"/>
          <w:numId w:val="8"/>
        </w:numPr>
        <w:rPr>
          <w:rFonts w:asciiTheme="minorHAnsi" w:hAnsiTheme="minorHAnsi" w:eastAsiaTheme="minorEastAsia" w:cstheme="minorBidi"/>
          <w:sz w:val="22"/>
          <w:szCs w:val="22"/>
          <w:lang w:eastAsia="en-US" w:bidi="ar-SA"/>
        </w:rPr>
      </w:pPr>
      <w:r w:rsidRPr="00846CAB">
        <w:rPr>
          <w:rFonts w:asciiTheme="minorHAnsi" w:hAnsiTheme="minorHAnsi" w:eastAsiaTheme="minorEastAsia" w:cstheme="minorBidi"/>
          <w:b/>
          <w:bCs/>
          <w:sz w:val="22"/>
          <w:szCs w:val="22"/>
          <w:lang w:eastAsia="en-US" w:bidi="ar-SA"/>
        </w:rPr>
        <w:t>More Inclusive Financing</w:t>
      </w:r>
      <w:r w:rsidRPr="00846CAB">
        <w:rPr>
          <w:rFonts w:asciiTheme="minorHAnsi" w:hAnsiTheme="minorHAnsi" w:eastAsiaTheme="minorEastAsia" w:cstheme="minorBidi"/>
          <w:sz w:val="22"/>
          <w:szCs w:val="22"/>
          <w:lang w:eastAsia="en-US" w:bidi="ar-SA"/>
        </w:rPr>
        <w:t xml:space="preserve"> – Supports businesses that lack traditional credit history but have strong financial performance.</w:t>
      </w:r>
    </w:p>
    <w:p w:rsidRPr="00846CAB" w:rsidR="00043B70" w:rsidP="00043B70" w:rsidRDefault="00043B70" w14:paraId="04A18E03" w14:textId="77777777">
      <w:pPr>
        <w:pStyle w:val="NormalWeb"/>
        <w:numPr>
          <w:ilvl w:val="0"/>
          <w:numId w:val="8"/>
        </w:numPr>
        <w:rPr>
          <w:rFonts w:asciiTheme="minorHAnsi" w:hAnsiTheme="minorHAnsi" w:eastAsiaTheme="minorEastAsia" w:cstheme="minorBidi"/>
          <w:sz w:val="22"/>
          <w:szCs w:val="22"/>
          <w:lang w:eastAsia="en-US" w:bidi="ar-SA"/>
        </w:rPr>
      </w:pPr>
      <w:r w:rsidRPr="00846CAB">
        <w:rPr>
          <w:rFonts w:asciiTheme="minorHAnsi" w:hAnsiTheme="minorHAnsi" w:eastAsiaTheme="minorEastAsia" w:cstheme="minorBidi"/>
          <w:b/>
          <w:bCs/>
          <w:sz w:val="22"/>
          <w:szCs w:val="22"/>
          <w:lang w:eastAsia="en-US" w:bidi="ar-SA"/>
        </w:rPr>
        <w:t>Reduced Default Rates</w:t>
      </w:r>
      <w:r w:rsidRPr="00846CAB">
        <w:rPr>
          <w:rFonts w:asciiTheme="minorHAnsi" w:hAnsiTheme="minorHAnsi" w:eastAsiaTheme="minorEastAsia" w:cstheme="minorBidi"/>
          <w:sz w:val="22"/>
          <w:szCs w:val="22"/>
          <w:lang w:eastAsia="en-US" w:bidi="ar-SA"/>
        </w:rPr>
        <w:t xml:space="preserve"> – Predicts potential risks early, allowing financial institutions to take preventive actions.</w:t>
      </w:r>
    </w:p>
    <w:p w:rsidRPr="00846CAB" w:rsidR="00043B70" w:rsidP="00043B70" w:rsidRDefault="00043B70" w14:paraId="23CBE2EE" w14:textId="5FACD62E">
      <w:pPr>
        <w:pStyle w:val="NormalWeb"/>
        <w:numPr>
          <w:ilvl w:val="0"/>
          <w:numId w:val="8"/>
        </w:numPr>
        <w:rPr>
          <w:rFonts w:asciiTheme="minorHAnsi" w:hAnsiTheme="minorHAnsi" w:eastAsiaTheme="minorEastAsia" w:cstheme="minorBidi"/>
          <w:sz w:val="22"/>
          <w:szCs w:val="22"/>
          <w:lang w:eastAsia="en-US" w:bidi="ar-SA"/>
        </w:rPr>
      </w:pPr>
      <w:r w:rsidRPr="00846CAB">
        <w:rPr>
          <w:rFonts w:asciiTheme="minorHAnsi" w:hAnsiTheme="minorHAnsi" w:eastAsiaTheme="minorEastAsia" w:cstheme="minorBidi"/>
          <w:b/>
          <w:bCs/>
          <w:sz w:val="22"/>
          <w:szCs w:val="22"/>
          <w:lang w:eastAsia="en-US" w:bidi="ar-SA"/>
        </w:rPr>
        <w:t>Scalability &amp; Adaptability</w:t>
      </w:r>
      <w:r w:rsidRPr="00846CAB">
        <w:rPr>
          <w:rFonts w:asciiTheme="minorHAnsi" w:hAnsiTheme="minorHAnsi" w:eastAsiaTheme="minorEastAsia" w:cstheme="minorBidi"/>
          <w:sz w:val="22"/>
          <w:szCs w:val="22"/>
          <w:lang w:eastAsia="en-US" w:bidi="ar-SA"/>
        </w:rPr>
        <w:t xml:space="preserve"> – Can be used by banks, NBFCs, fintech startups, and alternative lenders.</w:t>
      </w:r>
    </w:p>
    <w:p w:rsidRPr="00846CAB" w:rsidR="00846CAB" w:rsidP="00846CAB" w:rsidRDefault="00846CAB" w14:paraId="0A9AF0D6" w14:textId="77777777">
      <w:pPr>
        <w:jc w:val="both"/>
        <w:rPr>
          <w:rStyle w:val="Strong"/>
          <w:rFonts w:asciiTheme="majorHAnsi" w:hAnsiTheme="majorHAnsi" w:eastAsiaTheme="majorEastAsia" w:cstheme="majorBidi"/>
          <w:color w:val="2F5496" w:themeColor="accent1" w:themeShade="BF"/>
          <w:sz w:val="32"/>
          <w:szCs w:val="29"/>
        </w:rPr>
      </w:pPr>
      <w:r w:rsidRPr="00846CAB">
        <w:rPr>
          <w:rStyle w:val="Strong"/>
          <w:rFonts w:asciiTheme="majorHAnsi" w:hAnsiTheme="majorHAnsi" w:eastAsiaTheme="majorEastAsia" w:cstheme="majorBidi"/>
          <w:color w:val="2F5496" w:themeColor="accent1" w:themeShade="BF"/>
          <w:sz w:val="32"/>
          <w:szCs w:val="29"/>
        </w:rPr>
        <w:t>Judging Criteria for Hackathon:</w:t>
      </w:r>
    </w:p>
    <w:p w:rsidR="00846CAB" w:rsidP="00846CAB" w:rsidRDefault="00846CAB" w14:paraId="288524C2" w14:textId="77777777">
      <w:pPr>
        <w:numPr>
          <w:ilvl w:val="0"/>
          <w:numId w:val="9"/>
        </w:numPr>
        <w:spacing w:after="100" w:afterAutospacing="1" w:line="240" w:lineRule="auto"/>
        <w:ind w:left="714" w:hanging="357"/>
        <w:jc w:val="both"/>
        <w:rPr>
          <w:lang w:val="en-IN"/>
        </w:rPr>
      </w:pPr>
      <w:r w:rsidRPr="00846CAB">
        <w:rPr>
          <w:b/>
          <w:bCs/>
          <w:lang w:val="en-IN"/>
        </w:rPr>
        <w:t>Innovation &amp; Technical Feasibility</w:t>
      </w:r>
      <w:r w:rsidRPr="00846CAB">
        <w:rPr>
          <w:lang w:val="en-IN"/>
        </w:rPr>
        <w:t xml:space="preserve"> – Unique AI approaches to enhance credit scoring</w:t>
      </w:r>
    </w:p>
    <w:p w:rsidRPr="00846CAB" w:rsidR="00846CAB" w:rsidP="00846CAB" w:rsidRDefault="00846CAB" w14:paraId="663C5936" w14:textId="680F282D">
      <w:pPr>
        <w:numPr>
          <w:ilvl w:val="0"/>
          <w:numId w:val="9"/>
        </w:numPr>
        <w:spacing w:after="100" w:afterAutospacing="1" w:line="240" w:lineRule="auto"/>
        <w:ind w:left="714" w:hanging="357"/>
        <w:jc w:val="both"/>
        <w:rPr>
          <w:lang w:val="en-IN"/>
        </w:rPr>
      </w:pPr>
      <w:r w:rsidRPr="00846CAB">
        <w:rPr>
          <w:b/>
          <w:bCs/>
          <w:lang w:val="en-IN"/>
        </w:rPr>
        <w:t>Business Impact</w:t>
      </w:r>
      <w:r w:rsidRPr="00846CAB">
        <w:rPr>
          <w:lang w:val="en-IN"/>
        </w:rPr>
        <w:t xml:space="preserve"> – How well the solution addresses the problem for macro-finance businesses.</w:t>
      </w:r>
    </w:p>
    <w:p w:rsidRPr="00846CAB" w:rsidR="00846CAB" w:rsidP="00846CAB" w:rsidRDefault="00846CAB" w14:paraId="343765C7" w14:textId="77777777">
      <w:pPr>
        <w:numPr>
          <w:ilvl w:val="0"/>
          <w:numId w:val="9"/>
        </w:numPr>
        <w:spacing w:after="100" w:afterAutospacing="1" w:line="240" w:lineRule="auto"/>
        <w:ind w:left="714" w:hanging="357"/>
        <w:jc w:val="both"/>
        <w:rPr>
          <w:lang w:val="en-IN"/>
        </w:rPr>
      </w:pPr>
      <w:r w:rsidRPr="00846CAB">
        <w:rPr>
          <w:b/>
          <w:bCs/>
          <w:lang w:val="en-IN"/>
        </w:rPr>
        <w:t>Data Utilization</w:t>
      </w:r>
      <w:r w:rsidRPr="00846CAB">
        <w:rPr>
          <w:lang w:val="en-IN"/>
        </w:rPr>
        <w:t xml:space="preserve"> – Efficient use of structured and unstructured financial data.</w:t>
      </w:r>
    </w:p>
    <w:p w:rsidRPr="00846CAB" w:rsidR="00846CAB" w:rsidP="00846CAB" w:rsidRDefault="00846CAB" w14:paraId="4C48521E" w14:textId="77777777">
      <w:pPr>
        <w:numPr>
          <w:ilvl w:val="0"/>
          <w:numId w:val="9"/>
        </w:numPr>
        <w:spacing w:after="100" w:afterAutospacing="1" w:line="240" w:lineRule="auto"/>
        <w:ind w:left="714" w:hanging="357"/>
        <w:jc w:val="both"/>
        <w:rPr>
          <w:lang w:val="en-IN"/>
        </w:rPr>
      </w:pPr>
      <w:r w:rsidRPr="00846CAB">
        <w:rPr>
          <w:b/>
          <w:bCs/>
          <w:lang w:val="en-IN"/>
        </w:rPr>
        <w:t>Scalability &amp; Practical Implementation</w:t>
      </w:r>
      <w:r w:rsidRPr="00846CAB">
        <w:rPr>
          <w:lang w:val="en-IN"/>
        </w:rPr>
        <w:t xml:space="preserve"> – Potential to integrate with real-world financial systems.</w:t>
      </w:r>
    </w:p>
    <w:p w:rsidRPr="00846CAB" w:rsidR="00846CAB" w:rsidP="00846CAB" w:rsidRDefault="00846CAB" w14:paraId="0D83260A" w14:textId="77777777">
      <w:pPr>
        <w:numPr>
          <w:ilvl w:val="0"/>
          <w:numId w:val="9"/>
        </w:numPr>
        <w:spacing w:after="100" w:afterAutospacing="1" w:line="240" w:lineRule="auto"/>
        <w:ind w:left="714" w:hanging="357"/>
        <w:jc w:val="both"/>
        <w:rPr>
          <w:lang w:val="en-IN"/>
        </w:rPr>
      </w:pPr>
      <w:r w:rsidRPr="00846CAB">
        <w:rPr>
          <w:b/>
          <w:bCs/>
          <w:lang w:val="en-IN"/>
        </w:rPr>
        <w:t>User Experience &amp; Dashboard Design</w:t>
      </w:r>
      <w:r w:rsidRPr="00846CAB">
        <w:rPr>
          <w:lang w:val="en-IN"/>
        </w:rPr>
        <w:t xml:space="preserve"> – Ease of use for financial institutions and businesses.</w:t>
      </w:r>
    </w:p>
    <w:p w:rsidRPr="00846CAB" w:rsidR="00846CAB" w:rsidP="00846CAB" w:rsidRDefault="00846CAB" w14:paraId="22AE71A1" w14:textId="77777777">
      <w:pPr>
        <w:pStyle w:val="Heading2"/>
        <w:rPr>
          <w:rFonts w:eastAsia="Times New Roman"/>
          <w:sz w:val="36"/>
          <w:szCs w:val="36"/>
          <w:lang w:val="en-IN" w:bidi="hi-IN"/>
        </w:rPr>
      </w:pPr>
      <w:r w:rsidRPr="00846CAB">
        <w:rPr>
          <w:rStyle w:val="Strong"/>
        </w:rPr>
        <w:t>Final Deliverables:</w:t>
      </w:r>
    </w:p>
    <w:p w:rsidRPr="00846CAB" w:rsidR="00846CAB" w:rsidP="00846CAB" w:rsidRDefault="00846CAB" w14:paraId="1949ECA8" w14:textId="77777777">
      <w:pPr>
        <w:pStyle w:val="NormalWeb"/>
        <w:ind w:left="720"/>
        <w:rPr>
          <w:rFonts w:asciiTheme="minorHAnsi" w:hAnsiTheme="minorHAnsi" w:eastAsiaTheme="minorEastAsia" w:cstheme="minorBidi"/>
          <w:sz w:val="22"/>
          <w:szCs w:val="22"/>
          <w:lang w:eastAsia="en-US" w:bidi="ar-SA"/>
        </w:rPr>
      </w:pPr>
      <w:r w:rsidRPr="00846CAB">
        <w:rPr>
          <w:rFonts w:ascii="Segoe UI Emoji" w:hAnsi="Segoe UI Emoji" w:cs="Segoe UI Emoji" w:eastAsiaTheme="minorEastAsia"/>
          <w:sz w:val="22"/>
          <w:szCs w:val="22"/>
          <w:lang w:eastAsia="en-US" w:bidi="ar-SA"/>
        </w:rPr>
        <w:t>🔹</w:t>
      </w:r>
      <w:r w:rsidRPr="00846CAB">
        <w:rPr>
          <w:rFonts w:asciiTheme="minorHAnsi" w:hAnsiTheme="minorHAnsi" w:eastAsiaTheme="minorEastAsia" w:cstheme="minorBidi"/>
          <w:sz w:val="22"/>
          <w:szCs w:val="22"/>
          <w:lang w:eastAsia="en-US" w:bidi="ar-SA"/>
        </w:rPr>
        <w:t xml:space="preserve"> AI-powered CIBIL score system prototype</w:t>
      </w:r>
      <w:r w:rsidRPr="00846CAB">
        <w:rPr>
          <w:rFonts w:asciiTheme="minorHAnsi" w:hAnsiTheme="minorHAnsi" w:eastAsiaTheme="minorEastAsia" w:cstheme="minorBidi"/>
          <w:sz w:val="22"/>
          <w:szCs w:val="22"/>
          <w:lang w:eastAsia="en-US" w:bidi="ar-SA"/>
        </w:rPr>
        <w:br/>
      </w:r>
      <w:r w:rsidRPr="00846CAB">
        <w:rPr>
          <w:rFonts w:ascii="Segoe UI Emoji" w:hAnsi="Segoe UI Emoji" w:cs="Segoe UI Emoji" w:eastAsiaTheme="minorEastAsia"/>
          <w:sz w:val="22"/>
          <w:szCs w:val="22"/>
          <w:lang w:eastAsia="en-US" w:bidi="ar-SA"/>
        </w:rPr>
        <w:t>🔹</w:t>
      </w:r>
      <w:r w:rsidRPr="00846CAB">
        <w:rPr>
          <w:rFonts w:asciiTheme="minorHAnsi" w:hAnsiTheme="minorHAnsi" w:eastAsiaTheme="minorEastAsia" w:cstheme="minorBidi"/>
          <w:sz w:val="22"/>
          <w:szCs w:val="22"/>
          <w:lang w:eastAsia="en-US" w:bidi="ar-SA"/>
        </w:rPr>
        <w:t xml:space="preserve"> Model training &amp; evaluation metrics (e.g., </w:t>
      </w:r>
      <w:r w:rsidRPr="00846CAB">
        <w:rPr>
          <w:rFonts w:asciiTheme="minorHAnsi" w:hAnsiTheme="minorHAnsi" w:eastAsiaTheme="minorEastAsia" w:cstheme="minorBidi"/>
          <w:b/>
          <w:bCs/>
          <w:sz w:val="22"/>
          <w:szCs w:val="22"/>
          <w:lang w:eastAsia="en-US" w:bidi="ar-SA"/>
        </w:rPr>
        <w:t>ROC-AUC, MAE, F1-score</w:t>
      </w:r>
      <w:r w:rsidRPr="00846CAB">
        <w:rPr>
          <w:rFonts w:asciiTheme="minorHAnsi" w:hAnsiTheme="minorHAnsi" w:eastAsiaTheme="minorEastAsia" w:cstheme="minorBidi"/>
          <w:sz w:val="22"/>
          <w:szCs w:val="22"/>
          <w:lang w:eastAsia="en-US" w:bidi="ar-SA"/>
        </w:rPr>
        <w:t>)</w:t>
      </w:r>
      <w:r w:rsidRPr="00846CAB">
        <w:rPr>
          <w:rFonts w:asciiTheme="minorHAnsi" w:hAnsiTheme="minorHAnsi" w:eastAsiaTheme="minorEastAsia" w:cstheme="minorBidi"/>
          <w:sz w:val="22"/>
          <w:szCs w:val="22"/>
          <w:lang w:eastAsia="en-US" w:bidi="ar-SA"/>
        </w:rPr>
        <w:br/>
      </w:r>
      <w:r w:rsidRPr="00846CAB">
        <w:rPr>
          <w:rFonts w:ascii="Segoe UI Emoji" w:hAnsi="Segoe UI Emoji" w:cs="Segoe UI Emoji" w:eastAsiaTheme="minorEastAsia"/>
          <w:sz w:val="22"/>
          <w:szCs w:val="22"/>
          <w:lang w:eastAsia="en-US" w:bidi="ar-SA"/>
        </w:rPr>
        <w:t>🔹</w:t>
      </w:r>
      <w:r w:rsidRPr="00846CAB">
        <w:rPr>
          <w:rFonts w:asciiTheme="minorHAnsi" w:hAnsiTheme="minorHAnsi" w:eastAsiaTheme="minorEastAsia" w:cstheme="minorBidi"/>
          <w:sz w:val="22"/>
          <w:szCs w:val="22"/>
          <w:lang w:eastAsia="en-US" w:bidi="ar-SA"/>
        </w:rPr>
        <w:t xml:space="preserve"> Risk assessment dashboard UI</w:t>
      </w:r>
      <w:r w:rsidRPr="00846CAB">
        <w:rPr>
          <w:rFonts w:asciiTheme="minorHAnsi" w:hAnsiTheme="minorHAnsi" w:eastAsiaTheme="minorEastAsia" w:cstheme="minorBidi"/>
          <w:sz w:val="22"/>
          <w:szCs w:val="22"/>
          <w:lang w:eastAsia="en-US" w:bidi="ar-SA"/>
        </w:rPr>
        <w:br/>
      </w:r>
      <w:r w:rsidRPr="00846CAB">
        <w:rPr>
          <w:rFonts w:ascii="Segoe UI Emoji" w:hAnsi="Segoe UI Emoji" w:cs="Segoe UI Emoji" w:eastAsiaTheme="minorEastAsia"/>
          <w:sz w:val="22"/>
          <w:szCs w:val="22"/>
          <w:lang w:eastAsia="en-US" w:bidi="ar-SA"/>
        </w:rPr>
        <w:t>🔹</w:t>
      </w:r>
      <w:r w:rsidRPr="00846CAB">
        <w:rPr>
          <w:rFonts w:asciiTheme="minorHAnsi" w:hAnsiTheme="minorHAnsi" w:eastAsiaTheme="minorEastAsia" w:cstheme="minorBidi"/>
          <w:sz w:val="22"/>
          <w:szCs w:val="22"/>
          <w:lang w:eastAsia="en-US" w:bidi="ar-SA"/>
        </w:rPr>
        <w:t xml:space="preserve"> API documentation for integration</w:t>
      </w:r>
      <w:r w:rsidRPr="00846CAB">
        <w:rPr>
          <w:rFonts w:asciiTheme="minorHAnsi" w:hAnsiTheme="minorHAnsi" w:eastAsiaTheme="minorEastAsia" w:cstheme="minorBidi"/>
          <w:sz w:val="22"/>
          <w:szCs w:val="22"/>
          <w:lang w:eastAsia="en-US" w:bidi="ar-SA"/>
        </w:rPr>
        <w:br/>
      </w:r>
      <w:r w:rsidRPr="00846CAB">
        <w:rPr>
          <w:rFonts w:ascii="Segoe UI Emoji" w:hAnsi="Segoe UI Emoji" w:cs="Segoe UI Emoji" w:eastAsiaTheme="minorEastAsia"/>
          <w:sz w:val="22"/>
          <w:szCs w:val="22"/>
          <w:lang w:eastAsia="en-US" w:bidi="ar-SA"/>
        </w:rPr>
        <w:t>🔹</w:t>
      </w:r>
      <w:r w:rsidRPr="00846CAB">
        <w:rPr>
          <w:rFonts w:asciiTheme="minorHAnsi" w:hAnsiTheme="minorHAnsi" w:eastAsiaTheme="minorEastAsia" w:cstheme="minorBidi"/>
          <w:sz w:val="22"/>
          <w:szCs w:val="22"/>
          <w:lang w:eastAsia="en-US" w:bidi="ar-SA"/>
        </w:rPr>
        <w:t xml:space="preserve"> Presentation of solution with demo</w:t>
      </w:r>
    </w:p>
    <w:p w:rsidRPr="00846CAB" w:rsidR="00846CAB" w:rsidP="00846CAB" w:rsidRDefault="00846CAB" w14:paraId="0EF21BE1" w14:textId="77777777">
      <w:pPr>
        <w:pStyle w:val="Heading2"/>
        <w:rPr>
          <w:rStyle w:val="Strong"/>
        </w:rPr>
      </w:pPr>
      <w:r w:rsidRPr="00846CAB">
        <w:rPr>
          <w:rStyle w:val="Strong"/>
        </w:rPr>
        <w:t>References:</w:t>
      </w:r>
    </w:p>
    <w:p w:rsidRPr="00846CAB" w:rsidR="00846CAB" w:rsidP="00846CAB" w:rsidRDefault="00846CAB" w14:paraId="79243BDC" w14:textId="77777777">
      <w:pPr>
        <w:pStyle w:val="NormalWeb"/>
        <w:numPr>
          <w:ilvl w:val="0"/>
          <w:numId w:val="10"/>
        </w:numPr>
      </w:pPr>
      <w:r w:rsidRPr="00846CAB">
        <w:rPr>
          <w:rFonts w:asciiTheme="minorHAnsi" w:hAnsiTheme="minorHAnsi" w:eastAsiaTheme="minorEastAsia" w:cstheme="minorBidi"/>
          <w:b/>
          <w:bCs/>
          <w:sz w:val="22"/>
          <w:szCs w:val="22"/>
          <w:lang w:eastAsia="en-US" w:bidi="ar-SA"/>
        </w:rPr>
        <w:t>CIBIL Scoring System:</w:t>
      </w:r>
      <w:r w:rsidRPr="00846CAB">
        <w:t xml:space="preserve"> </w:t>
      </w:r>
      <w:hyperlink w:tgtFrame="_new" w:history="1" r:id="rId5">
        <w:r w:rsidRPr="00846CAB">
          <w:rPr>
            <w:rStyle w:val="Hyperlink"/>
          </w:rPr>
          <w:t>TransUnion CIBIL</w:t>
        </w:r>
      </w:hyperlink>
    </w:p>
    <w:p w:rsidRPr="00846CAB" w:rsidR="00846CAB" w:rsidP="00846CAB" w:rsidRDefault="00846CAB" w14:paraId="7E195ECE" w14:textId="77777777">
      <w:pPr>
        <w:pStyle w:val="NormalWeb"/>
        <w:numPr>
          <w:ilvl w:val="0"/>
          <w:numId w:val="10"/>
        </w:numPr>
      </w:pPr>
      <w:r w:rsidRPr="00846CAB">
        <w:rPr>
          <w:rFonts w:asciiTheme="minorHAnsi" w:hAnsiTheme="minorHAnsi" w:eastAsiaTheme="minorEastAsia" w:cstheme="minorBidi"/>
          <w:b/>
          <w:bCs/>
          <w:sz w:val="22"/>
          <w:szCs w:val="22"/>
          <w:lang w:eastAsia="en-US" w:bidi="ar-SA"/>
        </w:rPr>
        <w:t>Alternative Credit Scoring</w:t>
      </w:r>
      <w:r w:rsidRPr="00846CAB">
        <w:rPr>
          <w:b/>
          <w:bCs/>
        </w:rPr>
        <w:t>:</w:t>
      </w:r>
      <w:r w:rsidRPr="00846CAB">
        <w:t xml:space="preserve"> </w:t>
      </w:r>
      <w:hyperlink w:tgtFrame="_new" w:history="1" r:id="rId6">
        <w:r w:rsidRPr="00846CAB">
          <w:rPr>
            <w:rStyle w:val="Hyperlink"/>
          </w:rPr>
          <w:t>World Bank Report on Credit Scoring</w:t>
        </w:r>
      </w:hyperlink>
    </w:p>
    <w:p w:rsidRPr="00846CAB" w:rsidR="00846CAB" w:rsidP="1BFB7464" w:rsidRDefault="00846CAB" w14:paraId="2E56F6A7" w14:textId="77777777" w14:noSpellErr="1">
      <w:pPr>
        <w:pStyle w:val="NormalWeb"/>
        <w:numPr>
          <w:ilvl w:val="0"/>
          <w:numId w:val="10"/>
        </w:numPr>
        <w:rPr>
          <w:rFonts w:ascii="Calibri" w:hAnsi="Calibri" w:eastAsia="游明朝" w:cs="Mangal" w:asciiTheme="minorAscii" w:hAnsiTheme="minorAscii" w:eastAsiaTheme="minorEastAsia" w:cstheme="minorBidi"/>
          <w:b w:val="1"/>
          <w:bCs w:val="1"/>
          <w:sz w:val="22"/>
          <w:szCs w:val="22"/>
          <w:lang w:eastAsia="en-US" w:bidi="ar-SA"/>
        </w:rPr>
      </w:pPr>
      <w:r w:rsidRPr="1BFB7464" w:rsidR="00846CAB">
        <w:rPr>
          <w:rFonts w:ascii="Calibri" w:hAnsi="Calibri" w:eastAsia="游明朝" w:cs="Mangal" w:asciiTheme="minorAscii" w:hAnsiTheme="minorAscii" w:eastAsiaTheme="minorEastAsia" w:cstheme="minorBidi"/>
          <w:b w:val="1"/>
          <w:bCs w:val="1"/>
          <w:sz w:val="22"/>
          <w:szCs w:val="22"/>
          <w:lang w:eastAsia="en-US" w:bidi="ar-SA"/>
        </w:rPr>
        <w:t xml:space="preserve">AI in Financial Risk Management: </w:t>
      </w:r>
      <w:hyperlink r:id="Rcd9339c546fb4610">
        <w:r w:rsidRPr="1BFB7464" w:rsidR="00846CAB">
          <w:rPr>
            <w:rStyle w:val="Hyperlink"/>
            <w:rFonts w:ascii="Calibri" w:hAnsi="Calibri" w:eastAsia="游明朝" w:cs="Mangal" w:asciiTheme="minorAscii" w:hAnsiTheme="minorAscii" w:eastAsiaTheme="minorEastAsia" w:cstheme="minorBidi"/>
            <w:b w:val="1"/>
            <w:bCs w:val="1"/>
            <w:sz w:val="22"/>
            <w:szCs w:val="22"/>
            <w:lang w:eastAsia="en-US" w:bidi="ar-SA"/>
          </w:rPr>
          <w:t>MIT Sloan</w:t>
        </w:r>
      </w:hyperlink>
    </w:p>
    <w:p w:rsidRPr="00846CAB" w:rsidR="00846CAB" w:rsidP="00846CAB" w:rsidRDefault="00846CAB" w14:paraId="59413B35" w14:textId="77777777">
      <w:pPr>
        <w:pStyle w:val="NormalWeb"/>
        <w:numPr>
          <w:ilvl w:val="0"/>
          <w:numId w:val="10"/>
        </w:numPr>
      </w:pPr>
      <w:r w:rsidRPr="00846CAB">
        <w:rPr>
          <w:rFonts w:asciiTheme="minorHAnsi" w:hAnsiTheme="minorHAnsi" w:eastAsiaTheme="minorEastAsia" w:cstheme="minorBidi"/>
          <w:b/>
          <w:bCs/>
          <w:sz w:val="22"/>
          <w:szCs w:val="22"/>
          <w:lang w:eastAsia="en-US" w:bidi="ar-SA"/>
        </w:rPr>
        <w:t>India’s Digital Lending Guidelines:</w:t>
      </w:r>
      <w:r w:rsidRPr="00846CAB">
        <w:t xml:space="preserve"> Reserve Bank of India (RBI)</w:t>
      </w:r>
    </w:p>
    <w:p w:rsidRPr="00846CAB" w:rsidR="00846CAB" w:rsidP="00846CAB" w:rsidRDefault="00846CAB" w14:paraId="36895897" w14:textId="77777777">
      <w:pPr>
        <w:pStyle w:val="NormalWeb"/>
        <w:numPr>
          <w:ilvl w:val="0"/>
          <w:numId w:val="10"/>
        </w:numPr>
      </w:pPr>
      <w:r w:rsidRPr="00846CAB">
        <w:rPr>
          <w:rFonts w:asciiTheme="minorHAnsi" w:hAnsiTheme="minorHAnsi" w:eastAsiaTheme="minorEastAsia" w:cstheme="minorBidi"/>
          <w:b/>
          <w:bCs/>
          <w:sz w:val="22"/>
          <w:szCs w:val="22"/>
          <w:lang w:eastAsia="en-US" w:bidi="ar-SA"/>
        </w:rPr>
        <w:t>Open Banking &amp; Credit Models:</w:t>
      </w:r>
      <w:r w:rsidRPr="00846CAB">
        <w:t xml:space="preserve"> </w:t>
      </w:r>
      <w:hyperlink w:tgtFrame="_new" w:history="1" r:id="rId7">
        <w:r w:rsidRPr="00846CAB">
          <w:rPr>
            <w:rStyle w:val="Hyperlink"/>
          </w:rPr>
          <w:t>Financial Stability Board (FSB)</w:t>
        </w:r>
      </w:hyperlink>
    </w:p>
    <w:p w:rsidRPr="00846CAB" w:rsidR="00846CAB" w:rsidP="00846CAB" w:rsidRDefault="00846CAB" w14:paraId="54FCB1B9" w14:textId="0063C81B">
      <w:pPr>
        <w:pStyle w:val="Heading2"/>
        <w:rPr>
          <w:rStyle w:val="Strong"/>
        </w:rPr>
      </w:pPr>
      <w:r w:rsidRPr="00846CAB">
        <w:rPr>
          <w:rStyle w:val="Strong"/>
        </w:rPr>
        <w:t>Sample Dataset</w:t>
      </w:r>
    </w:p>
    <w:p w:rsidR="00846CAB" w:rsidP="00846CAB" w:rsidRDefault="00846CAB" w14:paraId="1EEB9D29" w14:textId="6618A31D">
      <w:pPr>
        <w:pStyle w:val="NormalWeb"/>
      </w:pPr>
      <w:r>
        <w:object w:dxaOrig="1520" w:dyaOrig="985" w14:anchorId="094602D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6.5pt;height:49.5pt" o:ole="" type="#_x0000_t75">
            <v:imagedata o:title="" r:id="rId8"/>
          </v:shape>
          <o:OLEObject Type="Embed" ProgID="Excel.SheetMacroEnabled.12" ShapeID="_x0000_i1025" DrawAspect="Icon" ObjectID="_1802459844" r:id="rId9"/>
        </w:object>
      </w:r>
    </w:p>
    <w:p w:rsidRPr="00043B70" w:rsidR="00043B70" w:rsidP="00043B70" w:rsidRDefault="00043B70" w14:paraId="5DFBA585" w14:textId="77777777">
      <w:pPr>
        <w:jc w:val="both"/>
        <w:rPr>
          <w:lang w:val="en-IN"/>
        </w:rPr>
      </w:pPr>
    </w:p>
    <w:p w:rsidRPr="00043B70" w:rsidR="00043B70" w:rsidP="00043B70" w:rsidRDefault="00043B70" w14:paraId="6C915837" w14:textId="77777777"/>
    <w:sectPr w:rsidRPr="00043B70" w:rsidR="00043B70" w:rsidSect="00043B70">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3E78"/>
    <w:multiLevelType w:val="multilevel"/>
    <w:tmpl w:val="70F26E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71414C5"/>
    <w:multiLevelType w:val="hybridMultilevel"/>
    <w:tmpl w:val="AFDC3186"/>
    <w:lvl w:ilvl="0" w:tplc="ACAA9E18">
      <w:start w:val="1"/>
      <w:numFmt w:val="decimal"/>
      <w:lvlText w:val="%1."/>
      <w:lvlJc w:val="left"/>
      <w:pPr>
        <w:ind w:left="720" w:hanging="360"/>
      </w:pPr>
      <w:rPr>
        <w:rFonts w:hint="default" w:eastAsiaTheme="majorEastAsia"/>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16136E"/>
    <w:multiLevelType w:val="multilevel"/>
    <w:tmpl w:val="3E80FE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FCA02B5"/>
    <w:multiLevelType w:val="multilevel"/>
    <w:tmpl w:val="03EE3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2797951"/>
    <w:multiLevelType w:val="multilevel"/>
    <w:tmpl w:val="D722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65F40"/>
    <w:multiLevelType w:val="hybridMultilevel"/>
    <w:tmpl w:val="50D6A224"/>
    <w:lvl w:ilvl="0" w:tplc="515CD0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5935B2"/>
    <w:multiLevelType w:val="multilevel"/>
    <w:tmpl w:val="726618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DC44798"/>
    <w:multiLevelType w:val="multilevel"/>
    <w:tmpl w:val="8782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350D7"/>
    <w:multiLevelType w:val="multilevel"/>
    <w:tmpl w:val="1FB6FF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26C1CB2"/>
    <w:multiLevelType w:val="multilevel"/>
    <w:tmpl w:val="12522A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2310732">
    <w:abstractNumId w:val="5"/>
  </w:num>
  <w:num w:numId="2" w16cid:durableId="1314220453">
    <w:abstractNumId w:val="4"/>
  </w:num>
  <w:num w:numId="3" w16cid:durableId="1077164823">
    <w:abstractNumId w:val="9"/>
  </w:num>
  <w:num w:numId="4" w16cid:durableId="541749734">
    <w:abstractNumId w:val="2"/>
  </w:num>
  <w:num w:numId="5" w16cid:durableId="868184606">
    <w:abstractNumId w:val="8"/>
  </w:num>
  <w:num w:numId="6" w16cid:durableId="1213350165">
    <w:abstractNumId w:val="6"/>
  </w:num>
  <w:num w:numId="7" w16cid:durableId="1563367138">
    <w:abstractNumId w:val="0"/>
  </w:num>
  <w:num w:numId="8" w16cid:durableId="303195464">
    <w:abstractNumId w:val="1"/>
  </w:num>
  <w:num w:numId="9" w16cid:durableId="1883126252">
    <w:abstractNumId w:val="3"/>
  </w:num>
  <w:num w:numId="10" w16cid:durableId="17703503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70"/>
    <w:rsid w:val="00043B70"/>
    <w:rsid w:val="0023772D"/>
    <w:rsid w:val="00602F15"/>
    <w:rsid w:val="006F43D4"/>
    <w:rsid w:val="00846CAB"/>
    <w:rsid w:val="009D4A48"/>
    <w:rsid w:val="00F33882"/>
    <w:rsid w:val="1BFB7464"/>
    <w:rsid w:val="5438FEA8"/>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FBB3B5"/>
  <w15:chartTrackingRefBased/>
  <w15:docId w15:val="{A6C3D2B0-681D-4D84-8655-A7C17267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3B70"/>
    <w:pPr>
      <w:spacing w:after="200" w:line="276" w:lineRule="auto"/>
    </w:pPr>
    <w:rPr>
      <w:rFonts w:eastAsiaTheme="minorEastAsia"/>
      <w:kern w:val="0"/>
      <w:sz w:val="22"/>
      <w:szCs w:val="22"/>
      <w:lang w:val="en-US" w:bidi="ar-SA"/>
      <w14:ligatures w14:val="none"/>
    </w:rPr>
  </w:style>
  <w:style w:type="paragraph" w:styleId="Heading1">
    <w:name w:val="heading 1"/>
    <w:basedOn w:val="Normal"/>
    <w:next w:val="Normal"/>
    <w:link w:val="Heading1Char"/>
    <w:uiPriority w:val="9"/>
    <w:qFormat/>
    <w:rsid w:val="00043B70"/>
    <w:pPr>
      <w:keepNext/>
      <w:keepLines/>
      <w:spacing w:before="360" w:after="80"/>
      <w:outlineLvl w:val="0"/>
    </w:pPr>
    <w:rPr>
      <w:rFonts w:asciiTheme="majorHAnsi" w:hAnsiTheme="majorHAnsi" w:eastAsiaTheme="majorEastAsia"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043B70"/>
    <w:pPr>
      <w:keepNext/>
      <w:keepLines/>
      <w:spacing w:before="160" w:after="80"/>
      <w:outlineLvl w:val="1"/>
    </w:pPr>
    <w:rPr>
      <w:rFonts w:asciiTheme="majorHAnsi" w:hAnsiTheme="majorHAnsi" w:eastAsiaTheme="majorEastAsia"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043B7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043B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B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B7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43B70"/>
    <w:rPr>
      <w:rFonts w:asciiTheme="majorHAnsi" w:hAnsiTheme="majorHAnsi" w:eastAsiaTheme="majorEastAsia" w:cstheme="majorBidi"/>
      <w:color w:val="2F5496" w:themeColor="accent1" w:themeShade="BF"/>
      <w:sz w:val="40"/>
      <w:szCs w:val="36"/>
    </w:rPr>
  </w:style>
  <w:style w:type="character" w:styleId="Heading2Char" w:customStyle="1">
    <w:name w:val="Heading 2 Char"/>
    <w:basedOn w:val="DefaultParagraphFont"/>
    <w:link w:val="Heading2"/>
    <w:uiPriority w:val="9"/>
    <w:rsid w:val="00043B70"/>
    <w:rPr>
      <w:rFonts w:asciiTheme="majorHAnsi" w:hAnsiTheme="majorHAnsi" w:eastAsiaTheme="majorEastAsia" w:cstheme="majorBidi"/>
      <w:color w:val="2F5496" w:themeColor="accent1" w:themeShade="BF"/>
      <w:sz w:val="32"/>
      <w:szCs w:val="29"/>
    </w:rPr>
  </w:style>
  <w:style w:type="character" w:styleId="Heading3Char" w:customStyle="1">
    <w:name w:val="Heading 3 Char"/>
    <w:basedOn w:val="DefaultParagraphFont"/>
    <w:link w:val="Heading3"/>
    <w:uiPriority w:val="9"/>
    <w:rsid w:val="00043B70"/>
    <w:rPr>
      <w:rFonts w:eastAsiaTheme="majorEastAsia" w:cstheme="majorBidi"/>
      <w:color w:val="2F5496" w:themeColor="accent1" w:themeShade="BF"/>
      <w:sz w:val="28"/>
      <w:szCs w:val="25"/>
    </w:rPr>
  </w:style>
  <w:style w:type="character" w:styleId="Heading4Char" w:customStyle="1">
    <w:name w:val="Heading 4 Char"/>
    <w:basedOn w:val="DefaultParagraphFont"/>
    <w:link w:val="Heading4"/>
    <w:uiPriority w:val="9"/>
    <w:semiHidden/>
    <w:rsid w:val="00043B70"/>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043B70"/>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043B7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43B7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43B7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43B70"/>
    <w:rPr>
      <w:rFonts w:eastAsiaTheme="majorEastAsia" w:cstheme="majorBidi"/>
      <w:color w:val="272727" w:themeColor="text1" w:themeTint="D8"/>
    </w:rPr>
  </w:style>
  <w:style w:type="paragraph" w:styleId="Title">
    <w:name w:val="Title"/>
    <w:basedOn w:val="Normal"/>
    <w:next w:val="Normal"/>
    <w:link w:val="TitleChar"/>
    <w:uiPriority w:val="10"/>
    <w:qFormat/>
    <w:rsid w:val="00043B70"/>
    <w:pPr>
      <w:spacing w:after="80" w:line="240" w:lineRule="auto"/>
      <w:contextualSpacing/>
    </w:pPr>
    <w:rPr>
      <w:rFonts w:asciiTheme="majorHAnsi" w:hAnsiTheme="majorHAnsi" w:eastAsiaTheme="majorEastAsia" w:cstheme="majorBidi"/>
      <w:spacing w:val="-10"/>
      <w:kern w:val="28"/>
      <w:sz w:val="56"/>
      <w:szCs w:val="50"/>
    </w:rPr>
  </w:style>
  <w:style w:type="character" w:styleId="TitleChar" w:customStyle="1">
    <w:name w:val="Title Char"/>
    <w:basedOn w:val="DefaultParagraphFont"/>
    <w:link w:val="Title"/>
    <w:uiPriority w:val="10"/>
    <w:rsid w:val="00043B70"/>
    <w:rPr>
      <w:rFonts w:asciiTheme="majorHAnsi" w:hAnsiTheme="majorHAnsi" w:eastAsiaTheme="majorEastAsia" w:cstheme="majorBidi"/>
      <w:spacing w:val="-10"/>
      <w:kern w:val="28"/>
      <w:sz w:val="56"/>
      <w:szCs w:val="50"/>
    </w:rPr>
  </w:style>
  <w:style w:type="paragraph" w:styleId="Subtitle">
    <w:name w:val="Subtitle"/>
    <w:basedOn w:val="Normal"/>
    <w:next w:val="Normal"/>
    <w:link w:val="SubtitleChar"/>
    <w:uiPriority w:val="11"/>
    <w:qFormat/>
    <w:rsid w:val="00043B70"/>
    <w:pPr>
      <w:numPr>
        <w:ilvl w:val="1"/>
      </w:numPr>
    </w:pPr>
    <w:rPr>
      <w:rFonts w:eastAsiaTheme="majorEastAsia" w:cstheme="majorBidi"/>
      <w:color w:val="595959" w:themeColor="text1" w:themeTint="A6"/>
      <w:spacing w:val="15"/>
      <w:sz w:val="28"/>
      <w:szCs w:val="25"/>
    </w:rPr>
  </w:style>
  <w:style w:type="character" w:styleId="SubtitleChar" w:customStyle="1">
    <w:name w:val="Subtitle Char"/>
    <w:basedOn w:val="DefaultParagraphFont"/>
    <w:link w:val="Subtitle"/>
    <w:uiPriority w:val="11"/>
    <w:rsid w:val="00043B7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43B70"/>
    <w:pPr>
      <w:spacing w:before="160"/>
      <w:jc w:val="center"/>
    </w:pPr>
    <w:rPr>
      <w:i/>
      <w:iCs/>
      <w:color w:val="404040" w:themeColor="text1" w:themeTint="BF"/>
    </w:rPr>
  </w:style>
  <w:style w:type="character" w:styleId="QuoteChar" w:customStyle="1">
    <w:name w:val="Quote Char"/>
    <w:basedOn w:val="DefaultParagraphFont"/>
    <w:link w:val="Quote"/>
    <w:uiPriority w:val="29"/>
    <w:rsid w:val="00043B70"/>
    <w:rPr>
      <w:i/>
      <w:iCs/>
      <w:color w:val="404040" w:themeColor="text1" w:themeTint="BF"/>
    </w:rPr>
  </w:style>
  <w:style w:type="paragraph" w:styleId="ListParagraph">
    <w:name w:val="List Paragraph"/>
    <w:basedOn w:val="Normal"/>
    <w:uiPriority w:val="34"/>
    <w:qFormat/>
    <w:rsid w:val="00043B70"/>
    <w:pPr>
      <w:ind w:left="720"/>
      <w:contextualSpacing/>
    </w:pPr>
  </w:style>
  <w:style w:type="character" w:styleId="IntenseEmphasis">
    <w:name w:val="Intense Emphasis"/>
    <w:basedOn w:val="DefaultParagraphFont"/>
    <w:uiPriority w:val="21"/>
    <w:qFormat/>
    <w:rsid w:val="00043B70"/>
    <w:rPr>
      <w:i/>
      <w:iCs/>
      <w:color w:val="2F5496" w:themeColor="accent1" w:themeShade="BF"/>
    </w:rPr>
  </w:style>
  <w:style w:type="paragraph" w:styleId="IntenseQuote">
    <w:name w:val="Intense Quote"/>
    <w:basedOn w:val="Normal"/>
    <w:next w:val="Normal"/>
    <w:link w:val="IntenseQuoteChar"/>
    <w:uiPriority w:val="30"/>
    <w:qFormat/>
    <w:rsid w:val="00043B7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043B70"/>
    <w:rPr>
      <w:i/>
      <w:iCs/>
      <w:color w:val="2F5496" w:themeColor="accent1" w:themeShade="BF"/>
    </w:rPr>
  </w:style>
  <w:style w:type="character" w:styleId="IntenseReference">
    <w:name w:val="Intense Reference"/>
    <w:basedOn w:val="DefaultParagraphFont"/>
    <w:uiPriority w:val="32"/>
    <w:qFormat/>
    <w:rsid w:val="00043B70"/>
    <w:rPr>
      <w:b/>
      <w:bCs/>
      <w:smallCaps/>
      <w:color w:val="2F5496" w:themeColor="accent1" w:themeShade="BF"/>
      <w:spacing w:val="5"/>
    </w:rPr>
  </w:style>
  <w:style w:type="character" w:styleId="Hyperlink">
    <w:name w:val="Hyperlink"/>
    <w:basedOn w:val="DefaultParagraphFont"/>
    <w:uiPriority w:val="99"/>
    <w:unhideWhenUsed/>
    <w:rsid w:val="00043B70"/>
    <w:rPr>
      <w:color w:val="0563C1" w:themeColor="hyperlink"/>
      <w:u w:val="single"/>
    </w:rPr>
  </w:style>
  <w:style w:type="character" w:styleId="FollowedHyperlink">
    <w:name w:val="FollowedHyperlink"/>
    <w:basedOn w:val="DefaultParagraphFont"/>
    <w:uiPriority w:val="99"/>
    <w:semiHidden/>
    <w:unhideWhenUsed/>
    <w:rsid w:val="00043B70"/>
    <w:rPr>
      <w:color w:val="954F72" w:themeColor="followedHyperlink"/>
      <w:u w:val="single"/>
    </w:rPr>
  </w:style>
  <w:style w:type="character" w:styleId="Strong">
    <w:name w:val="Strong"/>
    <w:basedOn w:val="DefaultParagraphFont"/>
    <w:uiPriority w:val="22"/>
    <w:qFormat/>
    <w:rsid w:val="00043B70"/>
    <w:rPr>
      <w:b/>
      <w:bCs/>
    </w:rPr>
  </w:style>
  <w:style w:type="paragraph" w:styleId="NormalWeb">
    <w:name w:val="Normal (Web)"/>
    <w:basedOn w:val="Normal"/>
    <w:uiPriority w:val="99"/>
    <w:semiHidden/>
    <w:unhideWhenUsed/>
    <w:rsid w:val="00043B70"/>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UnresolvedMention">
    <w:name w:val="Unresolved Mention"/>
    <w:basedOn w:val="DefaultParagraphFont"/>
    <w:uiPriority w:val="99"/>
    <w:semiHidden/>
    <w:unhideWhenUsed/>
    <w:rsid w:val="00846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172443">
      <w:bodyDiv w:val="1"/>
      <w:marLeft w:val="0"/>
      <w:marRight w:val="0"/>
      <w:marTop w:val="0"/>
      <w:marBottom w:val="0"/>
      <w:divBdr>
        <w:top w:val="none" w:sz="0" w:space="0" w:color="auto"/>
        <w:left w:val="none" w:sz="0" w:space="0" w:color="auto"/>
        <w:bottom w:val="none" w:sz="0" w:space="0" w:color="auto"/>
        <w:right w:val="none" w:sz="0" w:space="0" w:color="auto"/>
      </w:divBdr>
    </w:div>
    <w:div w:id="262618664">
      <w:bodyDiv w:val="1"/>
      <w:marLeft w:val="0"/>
      <w:marRight w:val="0"/>
      <w:marTop w:val="0"/>
      <w:marBottom w:val="0"/>
      <w:divBdr>
        <w:top w:val="none" w:sz="0" w:space="0" w:color="auto"/>
        <w:left w:val="none" w:sz="0" w:space="0" w:color="auto"/>
        <w:bottom w:val="none" w:sz="0" w:space="0" w:color="auto"/>
        <w:right w:val="none" w:sz="0" w:space="0" w:color="auto"/>
      </w:divBdr>
    </w:div>
    <w:div w:id="265894265">
      <w:bodyDiv w:val="1"/>
      <w:marLeft w:val="0"/>
      <w:marRight w:val="0"/>
      <w:marTop w:val="0"/>
      <w:marBottom w:val="0"/>
      <w:divBdr>
        <w:top w:val="none" w:sz="0" w:space="0" w:color="auto"/>
        <w:left w:val="none" w:sz="0" w:space="0" w:color="auto"/>
        <w:bottom w:val="none" w:sz="0" w:space="0" w:color="auto"/>
        <w:right w:val="none" w:sz="0" w:space="0" w:color="auto"/>
      </w:divBdr>
    </w:div>
    <w:div w:id="526716849">
      <w:bodyDiv w:val="1"/>
      <w:marLeft w:val="0"/>
      <w:marRight w:val="0"/>
      <w:marTop w:val="0"/>
      <w:marBottom w:val="0"/>
      <w:divBdr>
        <w:top w:val="none" w:sz="0" w:space="0" w:color="auto"/>
        <w:left w:val="none" w:sz="0" w:space="0" w:color="auto"/>
        <w:bottom w:val="none" w:sz="0" w:space="0" w:color="auto"/>
        <w:right w:val="none" w:sz="0" w:space="0" w:color="auto"/>
      </w:divBdr>
    </w:div>
    <w:div w:id="856769369">
      <w:bodyDiv w:val="1"/>
      <w:marLeft w:val="0"/>
      <w:marRight w:val="0"/>
      <w:marTop w:val="0"/>
      <w:marBottom w:val="0"/>
      <w:divBdr>
        <w:top w:val="none" w:sz="0" w:space="0" w:color="auto"/>
        <w:left w:val="none" w:sz="0" w:space="0" w:color="auto"/>
        <w:bottom w:val="none" w:sz="0" w:space="0" w:color="auto"/>
        <w:right w:val="none" w:sz="0" w:space="0" w:color="auto"/>
      </w:divBdr>
    </w:div>
    <w:div w:id="1148547937">
      <w:bodyDiv w:val="1"/>
      <w:marLeft w:val="0"/>
      <w:marRight w:val="0"/>
      <w:marTop w:val="0"/>
      <w:marBottom w:val="0"/>
      <w:divBdr>
        <w:top w:val="none" w:sz="0" w:space="0" w:color="auto"/>
        <w:left w:val="none" w:sz="0" w:space="0" w:color="auto"/>
        <w:bottom w:val="none" w:sz="0" w:space="0" w:color="auto"/>
        <w:right w:val="none" w:sz="0" w:space="0" w:color="auto"/>
      </w:divBdr>
    </w:div>
    <w:div w:id="1193811191">
      <w:bodyDiv w:val="1"/>
      <w:marLeft w:val="0"/>
      <w:marRight w:val="0"/>
      <w:marTop w:val="0"/>
      <w:marBottom w:val="0"/>
      <w:divBdr>
        <w:top w:val="none" w:sz="0" w:space="0" w:color="auto"/>
        <w:left w:val="none" w:sz="0" w:space="0" w:color="auto"/>
        <w:bottom w:val="none" w:sz="0" w:space="0" w:color="auto"/>
        <w:right w:val="none" w:sz="0" w:space="0" w:color="auto"/>
      </w:divBdr>
    </w:div>
    <w:div w:id="1363898219">
      <w:bodyDiv w:val="1"/>
      <w:marLeft w:val="0"/>
      <w:marRight w:val="0"/>
      <w:marTop w:val="0"/>
      <w:marBottom w:val="0"/>
      <w:divBdr>
        <w:top w:val="none" w:sz="0" w:space="0" w:color="auto"/>
        <w:left w:val="none" w:sz="0" w:space="0" w:color="auto"/>
        <w:bottom w:val="none" w:sz="0" w:space="0" w:color="auto"/>
        <w:right w:val="none" w:sz="0" w:space="0" w:color="auto"/>
      </w:divBdr>
    </w:div>
    <w:div w:id="1430276183">
      <w:bodyDiv w:val="1"/>
      <w:marLeft w:val="0"/>
      <w:marRight w:val="0"/>
      <w:marTop w:val="0"/>
      <w:marBottom w:val="0"/>
      <w:divBdr>
        <w:top w:val="none" w:sz="0" w:space="0" w:color="auto"/>
        <w:left w:val="none" w:sz="0" w:space="0" w:color="auto"/>
        <w:bottom w:val="none" w:sz="0" w:space="0" w:color="auto"/>
        <w:right w:val="none" w:sz="0" w:space="0" w:color="auto"/>
      </w:divBdr>
    </w:div>
    <w:div w:id="1683127106">
      <w:bodyDiv w:val="1"/>
      <w:marLeft w:val="0"/>
      <w:marRight w:val="0"/>
      <w:marTop w:val="0"/>
      <w:marBottom w:val="0"/>
      <w:divBdr>
        <w:top w:val="none" w:sz="0" w:space="0" w:color="auto"/>
        <w:left w:val="none" w:sz="0" w:space="0" w:color="auto"/>
        <w:bottom w:val="none" w:sz="0" w:space="0" w:color="auto"/>
        <w:right w:val="none" w:sz="0" w:space="0" w:color="auto"/>
      </w:divBdr>
    </w:div>
    <w:div w:id="1973829466">
      <w:bodyDiv w:val="1"/>
      <w:marLeft w:val="0"/>
      <w:marRight w:val="0"/>
      <w:marTop w:val="0"/>
      <w:marBottom w:val="0"/>
      <w:divBdr>
        <w:top w:val="none" w:sz="0" w:space="0" w:color="auto"/>
        <w:left w:val="none" w:sz="0" w:space="0" w:color="auto"/>
        <w:bottom w:val="none" w:sz="0" w:space="0" w:color="auto"/>
        <w:right w:val="none" w:sz="0" w:space="0" w:color="auto"/>
      </w:divBdr>
    </w:div>
    <w:div w:id="204605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settings" Target="settings.xml" Id="rId3" /><Relationship Type="http://schemas.openxmlformats.org/officeDocument/2006/relationships/hyperlink" Target="https://www.fsb.org/"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worldbank.org/en/publication/gfdr/gfdr-2016/background/credit-scoring" TargetMode="External" Id="rId6" /><Relationship Type="http://schemas.openxmlformats.org/officeDocument/2006/relationships/theme" Target="theme/theme1.xml" Id="rId11" /><Relationship Type="http://schemas.openxmlformats.org/officeDocument/2006/relationships/hyperlink" Target="https://www.cibil.com/"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package" Target="embeddings/Microsoft_Excel_Macro-Enabled_Worksheet.xlsm" Id="rId9" /><Relationship Type="http://schemas.openxmlformats.org/officeDocument/2006/relationships/hyperlink" Target="https://mitsloan.mit.edu/ideas-made-to-matter/topics/risk-management" TargetMode="External" Id="Rcd9339c546fb46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srivally thallapalle</dc:creator>
  <keywords/>
  <dc:description/>
  <lastModifiedBy>Thallapalle, Srivally [TECH]</lastModifiedBy>
  <revision>3</revision>
  <dcterms:created xsi:type="dcterms:W3CDTF">2025-03-03T06:29:00.0000000Z</dcterms:created>
  <dcterms:modified xsi:type="dcterms:W3CDTF">2025-03-06T02:15:57.0122240Z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181445-6ec4-4473-9810-00785f082df0_Enabled">
    <vt:lpwstr>true</vt:lpwstr>
  </property>
  <property fmtid="{D5CDD505-2E9C-101B-9397-08002B2CF9AE}" pid="3" name="MSIP_Label_dd181445-6ec4-4473-9810-00785f082df0_SetDate">
    <vt:lpwstr>2025-03-03T06:29:56Z</vt:lpwstr>
  </property>
  <property fmtid="{D5CDD505-2E9C-101B-9397-08002B2CF9AE}" pid="4" name="MSIP_Label_dd181445-6ec4-4473-9810-00785f082df0_Method">
    <vt:lpwstr>Privileged</vt:lpwstr>
  </property>
  <property fmtid="{D5CDD505-2E9C-101B-9397-08002B2CF9AE}" pid="5" name="MSIP_Label_dd181445-6ec4-4473-9810-00785f082df0_Name">
    <vt:lpwstr>Internal</vt:lpwstr>
  </property>
  <property fmtid="{D5CDD505-2E9C-101B-9397-08002B2CF9AE}" pid="6" name="MSIP_Label_dd181445-6ec4-4473-9810-00785f082df0_SiteId">
    <vt:lpwstr>1771ae17-e764-4e0f-a476-d4184d79a5d9</vt:lpwstr>
  </property>
  <property fmtid="{D5CDD505-2E9C-101B-9397-08002B2CF9AE}" pid="7" name="MSIP_Label_dd181445-6ec4-4473-9810-00785f082df0_ActionId">
    <vt:lpwstr>562d6cfa-6daa-495d-ad2e-2fbadb8576c0</vt:lpwstr>
  </property>
  <property fmtid="{D5CDD505-2E9C-101B-9397-08002B2CF9AE}" pid="8" name="MSIP_Label_dd181445-6ec4-4473-9810-00785f082df0_ContentBits">
    <vt:lpwstr>0</vt:lpwstr>
  </property>
  <property fmtid="{D5CDD505-2E9C-101B-9397-08002B2CF9AE}" pid="9" name="MSIP_Label_dd181445-6ec4-4473-9810-00785f082df0_Tag">
    <vt:lpwstr>10, 0, 1, 2</vt:lpwstr>
  </property>
</Properties>
</file>