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80"/>
        <w:jc w:val="center"/>
      </w:pPr>
      <w:r>
        <w:rPr>
          <w:rFonts w:ascii="Arial" w:cs="Arial" w:eastAsia="Arial" w:hAnsi="Arial"/>
          <w:b/>
          <w:bCs/>
          <w:color w:val="0A2342"/>
          <w:sz w:val="52"/>
          <w:szCs w:val="52"/>
        </w:rPr>
        <w:t xml:space="preserve">GLOBAL MENTAL HEALTH &amp;</w:t>
      </w:r>
    </w:p>
    <w:p>
      <w:pPr>
        <w:spacing w:after="80"/>
        <w:jc w:val="center"/>
      </w:pPr>
      <w:r>
        <w:rPr>
          <w:rFonts w:ascii="Arial" w:cs="Arial" w:eastAsia="Arial" w:hAnsi="Arial"/>
          <w:b/>
          <w:bCs/>
          <w:color w:val="1565C0"/>
          <w:sz w:val="52"/>
          <w:szCs w:val="52"/>
        </w:rPr>
        <w:t xml:space="preserve">WORKFORCE PRODUCTIVITY</w:t>
      </w:r>
    </w:p>
    <w:p>
      <w:pPr>
        <w:spacing w:after="320"/>
        <w:jc w:val="center"/>
      </w:pPr>
      <w:r>
        <w:rPr>
          <w:rFonts w:ascii="Arial" w:cs="Arial" w:eastAsia="Arial" w:hAnsi="Arial"/>
          <w:b/>
          <w:bCs/>
          <w:color w:val="00897B"/>
          <w:sz w:val="28"/>
          <w:szCs w:val="28"/>
        </w:rPr>
        <w:t xml:space="preserve">A COMPREHENSIVE DATA ANALYSIS PROJECT</w:t>
      </w:r>
    </w:p>
    <w:p>
      <w:pPr>
        <w:pBdr>
          <w:bottom w:val="single" w:color="1565C0" w:sz="6" w:space="1"/>
        </w:pBdr>
        <w:spacing w:after="80" w:before="80"/>
      </w:pPr>
      <w:r>
        <w:t xml:space="preserve"/>
      </w:r>
    </w:p>
    <w:p>
      <w:pPr>
        <w:spacing w:after="120"/>
      </w:pPr>
      <w:r>
        <w:t xml:space="preserve"/>
      </w:r>
    </w:p>
    <w:p>
      <w:pPr>
        <w:spacing w:after="80"/>
        <w:jc w:val="center"/>
      </w:pPr>
      <w:r>
        <w:rPr>
          <w:rFonts w:ascii="Arial" w:cs="Arial" w:eastAsia="Arial" w:hAnsi="Arial"/>
          <w:color w:val="455A64"/>
          <w:sz w:val="22"/>
          <w:szCs w:val="22"/>
        </w:rPr>
        <w:t xml:space="preserve">30 Countries  ·  10-Year Longitudinal Study (2015–2024)  ·  8,500 Survey Respondents</w:t>
      </w:r>
    </w:p>
    <w:p>
      <w:pPr>
        <w:spacing w:after="400"/>
        <w:jc w:val="center"/>
      </w:pPr>
      <w:r>
        <w:rPr>
          <w:rFonts w:ascii="Arial" w:cs="Arial" w:eastAsia="Arial" w:hAnsi="Arial"/>
          <w:color w:val="455A64"/>
          <w:sz w:val="22"/>
          <w:szCs w:val="22"/>
        </w:rPr>
        <w:t xml:space="preserve">4 Integrated Datasets  ·  Machine Learning Productivity Model  ·  COVID Recovery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3F2FD" w:val="clear"/>
            <w:tcMar>
              <w:top w:type="dxa" w:w="120"/>
              <w:left w:type="dxa" w:w="140"/>
              <w:bottom w:type="dxa" w:w="120"/>
              <w:right w:type="dxa" w:w="140"/>
            </w:tcMar>
            <w:vAlign w:val="center"/>
          </w:tcPr>
          <w:p>
            <w:pPr>
              <w:spacing w:before="60"/>
              <w:jc w:val="center"/>
            </w:pPr>
            <w:r>
              <w:rPr>
                <w:rFonts w:ascii="Arial" w:cs="Arial" w:eastAsia="Arial" w:hAnsi="Arial"/>
                <w:b/>
                <w:bCs/>
                <w:color w:val="1565C0"/>
                <w:sz w:val="32"/>
                <w:szCs w:val="32"/>
              </w:rPr>
              <w:t xml:space="preserve">$6.4T</w:t>
            </w:r>
          </w:p>
          <w:p>
            <w:pPr>
              <w:spacing w:after="60"/>
              <w:jc w:val="center"/>
            </w:pPr>
            <w:r>
              <w:rPr>
                <w:rFonts w:ascii="Arial" w:cs="Arial" w:eastAsia="Arial" w:hAnsi="Arial"/>
                <w:color w:val="455A64"/>
                <w:sz w:val="17"/>
                <w:szCs w:val="17"/>
              </w:rPr>
              <w:t xml:space="preserve">Annual Economic Burden</w:t>
            </w:r>
          </w:p>
        </w:tc>
        <w:tc>
          <w:tcPr>
            <w:tcW w:type="dxa" w:w="2340"/>
            <w:tcBorders>
              <w:top w:val="single" w:color="CCCCCC" w:sz="1"/>
              <w:left w:val="single" w:color="CCCCCC" w:sz="1"/>
              <w:bottom w:val="single" w:color="CCCCCC" w:sz="1"/>
              <w:right w:val="single" w:color="CCCCCC" w:sz="1"/>
            </w:tcBorders>
            <w:shd w:fill="E0F2F1" w:val="clear"/>
            <w:tcMar>
              <w:top w:type="dxa" w:w="120"/>
              <w:left w:type="dxa" w:w="140"/>
              <w:bottom w:type="dxa" w:w="120"/>
              <w:right w:type="dxa" w:w="140"/>
            </w:tcMar>
            <w:vAlign w:val="center"/>
          </w:tcPr>
          <w:p>
            <w:pPr>
              <w:spacing w:before="60"/>
              <w:jc w:val="center"/>
            </w:pPr>
            <w:r>
              <w:rPr>
                <w:rFonts w:ascii="Arial" w:cs="Arial" w:eastAsia="Arial" w:hAnsi="Arial"/>
                <w:b/>
                <w:bCs/>
                <w:color w:val="00897B"/>
                <w:sz w:val="32"/>
                <w:szCs w:val="32"/>
              </w:rPr>
              <w:t xml:space="preserve">16.1%</w:t>
            </w:r>
          </w:p>
          <w:p>
            <w:pPr>
              <w:spacing w:after="60"/>
              <w:jc w:val="center"/>
            </w:pPr>
            <w:r>
              <w:rPr>
                <w:rFonts w:ascii="Arial" w:cs="Arial" w:eastAsia="Arial" w:hAnsi="Arial"/>
                <w:color w:val="455A64"/>
                <w:sz w:val="17"/>
                <w:szCs w:val="17"/>
              </w:rPr>
              <w:t xml:space="preserve">Global MH Prevalence</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vAlign w:val="center"/>
          </w:tcPr>
          <w:p>
            <w:pPr>
              <w:spacing w:before="60"/>
              <w:jc w:val="center"/>
            </w:pPr>
            <w:r>
              <w:rPr>
                <w:rFonts w:ascii="Arial" w:cs="Arial" w:eastAsia="Arial" w:hAnsi="Arial"/>
                <w:b/>
                <w:bCs/>
                <w:color w:val="E65100"/>
                <w:sz w:val="32"/>
                <w:szCs w:val="32"/>
              </w:rPr>
              <w:t xml:space="preserve">55.2%</w:t>
            </w:r>
          </w:p>
          <w:p>
            <w:pPr>
              <w:spacing w:after="60"/>
              <w:jc w:val="center"/>
            </w:pPr>
            <w:r>
              <w:rPr>
                <w:rFonts w:ascii="Arial" w:cs="Arial" w:eastAsia="Arial" w:hAnsi="Arial"/>
                <w:color w:val="455A64"/>
                <w:sz w:val="17"/>
                <w:szCs w:val="17"/>
              </w:rPr>
              <w:t xml:space="preserve">Treatment Gap</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vAlign w:val="center"/>
          </w:tcPr>
          <w:p>
            <w:pPr>
              <w:spacing w:before="60"/>
              <w:jc w:val="center"/>
            </w:pPr>
            <w:r>
              <w:rPr>
                <w:rFonts w:ascii="Arial" w:cs="Arial" w:eastAsia="Arial" w:hAnsi="Arial"/>
                <w:b/>
                <w:bCs/>
                <w:color w:val="2E7D32"/>
                <w:sz w:val="32"/>
                <w:szCs w:val="32"/>
              </w:rPr>
              <w:t xml:space="preserve">7.5x</w:t>
            </w:r>
          </w:p>
          <w:p>
            <w:pPr>
              <w:spacing w:after="60"/>
              <w:jc w:val="center"/>
            </w:pPr>
            <w:r>
              <w:rPr>
                <w:rFonts w:ascii="Arial" w:cs="Arial" w:eastAsia="Arial" w:hAnsi="Arial"/>
                <w:color w:val="455A64"/>
                <w:sz w:val="17"/>
                <w:szCs w:val="17"/>
              </w:rPr>
              <w:t xml:space="preserve">Telehealth Growth</w:t>
            </w:r>
          </w:p>
        </w:tc>
      </w:tr>
    </w:tbl>
    <w:p>
      <w:pPr>
        <w:spacing w:after="240"/>
      </w:pPr>
      <w:r>
        <w:t xml:space="preserve"/>
      </w:r>
    </w:p>
    <w:p>
      <w:pPr>
        <w:jc w:val="center"/>
      </w:pPr>
      <w:r>
        <w:rPr>
          <w:rFonts w:ascii="Arial" w:cs="Arial" w:eastAsia="Arial" w:hAnsi="Arial"/>
          <w:color w:val="455A64"/>
          <w:sz w:val="22"/>
          <w:szCs w:val="22"/>
        </w:rPr>
        <w:t xml:space="preserve">Prepared by: Senior Data Analyst</w:t>
      </w:r>
    </w:p>
    <w:p>
      <w:pPr>
        <w:jc w:val="center"/>
      </w:pPr>
      <w:r>
        <w:rPr>
          <w:rFonts w:ascii="Arial" w:cs="Arial" w:eastAsia="Arial" w:hAnsi="Arial"/>
          <w:color w:val="455A64"/>
          <w:sz w:val="20"/>
          <w:szCs w:val="20"/>
        </w:rPr>
        <w:t xml:space="preserve">Tools: Python · Pandas · Scikit-learn · Matplotlib · Seaborn</w:t>
      </w:r>
    </w:p>
    <w:p>
      <w:pPr>
        <w:spacing w:after="200"/>
        <w:jc w:val="center"/>
      </w:pPr>
      <w:r>
        <w:rPr>
          <w:rFonts w:ascii="Arial" w:cs="Arial" w:eastAsia="Arial" w:hAnsi="Arial"/>
          <w:color w:val="455A64"/>
          <w:sz w:val="20"/>
          <w:szCs w:val="20"/>
        </w:rPr>
        <w:t xml:space="preserve">Date: 2024  |  Classification: Professional Portfolio</w:t>
      </w:r>
    </w:p>
    <w:p>
      <w:r>
        <w:br w:type="page"/>
      </w:r>
    </w:p>
    <w:p>
      <w:pPr>
        <w:pStyle w:val="Heading1"/>
        <w:spacing w:after="200" w:before="480"/>
      </w:pPr>
      <w:r>
        <w:rPr>
          <w:rFonts w:ascii="Arial" w:cs="Arial" w:eastAsia="Arial" w:hAnsi="Arial"/>
          <w:b/>
          <w:bCs/>
          <w:color w:val="0A2342"/>
          <w:sz w:val="36"/>
          <w:szCs w:val="36"/>
        </w:rPr>
        <w:t xml:space="preserve">Executive Summary</w:t>
      </w:r>
    </w:p>
    <w:p>
      <w:pPr>
        <w:pBdr>
          <w:bottom w:val="single" w:color="0A2342" w:sz="6" w:space="1"/>
        </w:pBdr>
        <w:spacing w:after="80" w:before="80"/>
      </w:pPr>
      <w:r>
        <w:t xml:space="preserve"/>
      </w:r>
    </w:p>
    <w:p>
      <w:pPr>
        <w:spacing w:after="60"/>
      </w:pPr>
      <w:r>
        <w:t xml:space="preserve"/>
      </w:r>
    </w:p>
    <w:p>
      <w:pPr>
        <w:spacing w:after="120" w:before="0"/>
        <w:jc w:val="left"/>
      </w:pPr>
      <w:r>
        <w:rPr>
          <w:rFonts w:ascii="Arial" w:cs="Arial" w:eastAsia="Arial" w:hAnsi="Arial"/>
          <w:color w:val="455A64"/>
          <w:sz w:val="20"/>
          <w:szCs w:val="20"/>
        </w:rPr>
        <w:t xml:space="preserve">This report presents a rigorous, data-driven analysis of the global mental health crisis through the lens of workforce productivity and economic impact. Drawing on four purpose-built datasets spanning 30 countries from 2015 to 2024, and a survey of 8,500 workers, we quantify the burden of mental ill-health on economies, organisations, and individuals — while identifying actionable intervention pathways backed by predictive modeling.</w:t>
      </w:r>
    </w:p>
    <w:p>
      <w:pPr>
        <w:spacing w:after="60"/>
      </w:pPr>
      <w:r>
        <w:t xml:space="preserve"/>
      </w:r>
    </w:p>
    <w:p>
      <w:pPr>
        <w:pStyle w:val="Heading2"/>
        <w:spacing w:after="160" w:before="320"/>
      </w:pPr>
      <w:r>
        <w:rPr>
          <w:rFonts w:ascii="Arial" w:cs="Arial" w:eastAsia="Arial" w:hAnsi="Arial"/>
          <w:b/>
          <w:bCs/>
          <w:color w:val="0A2342"/>
          <w:sz w:val="28"/>
          <w:szCs w:val="28"/>
        </w:rPr>
        <w:t xml:space="preserve">Project at a Glance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3F2FD" w:val="clear"/>
            <w:tcMar>
              <w:top w:type="dxa" w:w="120"/>
              <w:left w:type="dxa" w:w="140"/>
              <w:bottom w:type="dxa" w:w="120"/>
              <w:right w:type="dxa" w:w="140"/>
            </w:tcMar>
            <w:vAlign w:val="center"/>
          </w:tcPr>
          <w:p>
            <w:pPr>
              <w:spacing w:before="60"/>
              <w:jc w:val="center"/>
            </w:pPr>
            <w:r>
              <w:rPr>
                <w:rFonts w:ascii="Arial" w:cs="Arial" w:eastAsia="Arial" w:hAnsi="Arial"/>
                <w:b/>
                <w:bCs/>
                <w:color w:val="1565C0"/>
                <w:sz w:val="32"/>
                <w:szCs w:val="32"/>
              </w:rPr>
              <w:t xml:space="preserve">300</w:t>
            </w:r>
          </w:p>
          <w:p>
            <w:pPr>
              <w:spacing w:after="60"/>
              <w:jc w:val="center"/>
            </w:pPr>
            <w:r>
              <w:rPr>
                <w:rFonts w:ascii="Arial" w:cs="Arial" w:eastAsia="Arial" w:hAnsi="Arial"/>
                <w:color w:val="455A64"/>
                <w:sz w:val="17"/>
                <w:szCs w:val="17"/>
              </w:rPr>
              <w:t xml:space="preserve">Country-Year
Observations</w:t>
            </w:r>
          </w:p>
        </w:tc>
        <w:tc>
          <w:tcPr>
            <w:tcW w:type="dxa" w:w="2340"/>
            <w:tcBorders>
              <w:top w:val="single" w:color="CCCCCC" w:sz="1"/>
              <w:left w:val="single" w:color="CCCCCC" w:sz="1"/>
              <w:bottom w:val="single" w:color="CCCCCC" w:sz="1"/>
              <w:right w:val="single" w:color="CCCCCC" w:sz="1"/>
            </w:tcBorders>
            <w:shd w:fill="E0F2F1" w:val="clear"/>
            <w:tcMar>
              <w:top w:type="dxa" w:w="120"/>
              <w:left w:type="dxa" w:w="140"/>
              <w:bottom w:type="dxa" w:w="120"/>
              <w:right w:type="dxa" w:w="140"/>
            </w:tcMar>
            <w:vAlign w:val="center"/>
          </w:tcPr>
          <w:p>
            <w:pPr>
              <w:spacing w:before="60"/>
              <w:jc w:val="center"/>
            </w:pPr>
            <w:r>
              <w:rPr>
                <w:rFonts w:ascii="Arial" w:cs="Arial" w:eastAsia="Arial" w:hAnsi="Arial"/>
                <w:b/>
                <w:bCs/>
                <w:color w:val="00897B"/>
                <w:sz w:val="32"/>
                <w:szCs w:val="32"/>
              </w:rPr>
              <w:t xml:space="preserve">8,500</w:t>
            </w:r>
          </w:p>
          <w:p>
            <w:pPr>
              <w:spacing w:after="60"/>
              <w:jc w:val="center"/>
            </w:pPr>
            <w:r>
              <w:rPr>
                <w:rFonts w:ascii="Arial" w:cs="Arial" w:eastAsia="Arial" w:hAnsi="Arial"/>
                <w:color w:val="455A64"/>
                <w:sz w:val="17"/>
                <w:szCs w:val="17"/>
              </w:rPr>
              <w:t xml:space="preserve">Workforce
Survey Records</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vAlign w:val="center"/>
          </w:tcPr>
          <w:p>
            <w:pPr>
              <w:spacing w:before="60"/>
              <w:jc w:val="center"/>
            </w:pPr>
            <w:r>
              <w:rPr>
                <w:rFonts w:ascii="Arial" w:cs="Arial" w:eastAsia="Arial" w:hAnsi="Arial"/>
                <w:b/>
                <w:bCs/>
                <w:color w:val="E65100"/>
                <w:sz w:val="32"/>
                <w:szCs w:val="32"/>
              </w:rPr>
              <w:t xml:space="preserve">300</w:t>
            </w:r>
          </w:p>
          <w:p>
            <w:pPr>
              <w:spacing w:after="60"/>
              <w:jc w:val="center"/>
            </w:pPr>
            <w:r>
              <w:rPr>
                <w:rFonts w:ascii="Arial" w:cs="Arial" w:eastAsia="Arial" w:hAnsi="Arial"/>
                <w:color w:val="455A64"/>
                <w:sz w:val="17"/>
                <w:szCs w:val="17"/>
              </w:rPr>
              <w:t xml:space="preserve">Economic Cost
Data Points</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vAlign w:val="center"/>
          </w:tcPr>
          <w:p>
            <w:pPr>
              <w:spacing w:before="60"/>
              <w:jc w:val="center"/>
            </w:pPr>
            <w:r>
              <w:rPr>
                <w:rFonts w:ascii="Arial" w:cs="Arial" w:eastAsia="Arial" w:hAnsi="Arial"/>
                <w:b/>
                <w:bCs/>
                <w:color w:val="2E7D32"/>
                <w:sz w:val="32"/>
                <w:szCs w:val="32"/>
              </w:rPr>
              <w:t xml:space="preserve">480</w:t>
            </w:r>
          </w:p>
          <w:p>
            <w:pPr>
              <w:spacing w:after="60"/>
              <w:jc w:val="center"/>
            </w:pPr>
            <w:r>
              <w:rPr>
                <w:rFonts w:ascii="Arial" w:cs="Arial" w:eastAsia="Arial" w:hAnsi="Arial"/>
                <w:color w:val="455A64"/>
                <w:sz w:val="17"/>
                <w:szCs w:val="17"/>
              </w:rPr>
              <w:t xml:space="preserve">Quarterly COVID
Recovery Records</w:t>
            </w:r>
          </w:p>
        </w:tc>
      </w:tr>
    </w:tbl>
    <w:p>
      <w:pPr>
        <w:spacing w:after="120"/>
      </w:pPr>
      <w:r>
        <w:t xml:space="preserve"/>
      </w:r>
    </w:p>
    <w:p>
      <w:pPr>
        <w:pStyle w:val="Heading3"/>
        <w:spacing w:after="120" w:before="240"/>
      </w:pPr>
      <w:r>
        <w:rPr>
          <w:rFonts w:ascii="Arial" w:cs="Arial" w:eastAsia="Arial" w:hAnsi="Arial"/>
          <w:b/>
          <w:bCs/>
          <w:color w:val="0A2342"/>
          <w:sz w:val="24"/>
          <w:szCs w:val="24"/>
        </w:rPr>
        <w:t xml:space="preserve">Key Findings at a Glance</w:t>
      </w:r>
    </w:p>
    <w:p>
      <w:pPr>
        <w:pStyle w:val="ListParagraph"/>
        <w:numPr>
          <w:ilvl w:val="0"/>
          <w:numId w:val="2"/>
        </w:numPr>
        <w:spacing w:after="80"/>
      </w:pPr>
      <w:r>
        <w:rPr>
          <w:rFonts w:ascii="Arial" w:cs="Arial" w:eastAsia="Arial" w:hAnsi="Arial"/>
          <w:color w:val="455A64"/>
          <w:sz w:val="20"/>
          <w:szCs w:val="20"/>
        </w:rPr>
        <w:t xml:space="preserve">Global MH prevalence rose from 13.3% (2015) to 16.1% (2024) — a 21% increase driven by COVID-19, economic uncertainty, and rising workplace demands</w:t>
      </w:r>
    </w:p>
    <w:p>
      <w:pPr>
        <w:pStyle w:val="ListParagraph"/>
        <w:numPr>
          <w:ilvl w:val="0"/>
          <w:numId w:val="2"/>
        </w:numPr>
        <w:spacing w:after="80"/>
      </w:pPr>
      <w:r>
        <w:rPr>
          <w:rFonts w:ascii="Arial" w:cs="Arial" w:eastAsia="Arial" w:hAnsi="Arial"/>
          <w:color w:val="455A64"/>
          <w:sz w:val="20"/>
          <w:szCs w:val="20"/>
        </w:rPr>
        <w:t xml:space="preserve">COVID-19 caused a peak anxiety index surge of +32.5 points in 2020; by 2024, 94.5% of this spike has been recovered, but structural damage persists</w:t>
      </w:r>
    </w:p>
    <w:p>
      <w:pPr>
        <w:pStyle w:val="ListParagraph"/>
        <w:numPr>
          <w:ilvl w:val="0"/>
          <w:numId w:val="2"/>
        </w:numPr>
        <w:spacing w:after="80"/>
      </w:pPr>
      <w:r>
        <w:rPr>
          <w:rFonts w:ascii="Arial" w:cs="Arial" w:eastAsia="Arial" w:hAnsi="Arial"/>
          <w:color w:val="455A64"/>
          <w:sz w:val="20"/>
          <w:szCs w:val="20"/>
        </w:rPr>
        <w:t xml:space="preserve">The global economic burden reached USD 6.4 trillion in 2024, with lost productivity accounting for 55% of this cost</w:t>
      </w:r>
    </w:p>
    <w:p>
      <w:pPr>
        <w:pStyle w:val="ListParagraph"/>
        <w:numPr>
          <w:ilvl w:val="0"/>
          <w:numId w:val="2"/>
        </w:numPr>
        <w:spacing w:after="80"/>
      </w:pPr>
      <w:r>
        <w:rPr>
          <w:rFonts w:ascii="Arial" w:cs="Arial" w:eastAsia="Arial" w:hAnsi="Arial"/>
          <w:color w:val="455A64"/>
          <w:sz w:val="20"/>
          <w:szCs w:val="20"/>
        </w:rPr>
        <w:t xml:space="preserve">Treatment gaps as high as 88% exist in low-income regions — a stark equity failure despite proven ROI of $2–5 per $1 invested in MH treatment</w:t>
      </w:r>
    </w:p>
    <w:p>
      <w:pPr>
        <w:pStyle w:val="ListParagraph"/>
        <w:numPr>
          <w:ilvl w:val="0"/>
          <w:numId w:val="2"/>
        </w:numPr>
        <w:spacing w:after="80"/>
      </w:pPr>
      <w:r>
        <w:rPr>
          <w:rFonts w:ascii="Arial" w:cs="Arial" w:eastAsia="Arial" w:hAnsi="Arial"/>
          <w:color w:val="455A64"/>
          <w:sz w:val="20"/>
          <w:szCs w:val="20"/>
        </w:rPr>
        <w:t xml:space="preserve">Wellbeing score is the single strongest predictor of employee productivity (Feature Importance: 32%), followed by burnout risk (26%)</w:t>
      </w:r>
    </w:p>
    <w:p>
      <w:pPr>
        <w:pStyle w:val="ListParagraph"/>
        <w:numPr>
          <w:ilvl w:val="0"/>
          <w:numId w:val="2"/>
        </w:numPr>
        <w:spacing w:after="80"/>
      </w:pPr>
      <w:r>
        <w:rPr>
          <w:rFonts w:ascii="Arial" w:cs="Arial" w:eastAsia="Arial" w:hAnsi="Arial"/>
          <w:color w:val="455A64"/>
          <w:sz w:val="20"/>
          <w:szCs w:val="20"/>
        </w:rPr>
        <w:t xml:space="preserve">Healthcare and Finance sectors show the highest burnout (7.08 and 6.82/10) — requiring immediate sector-specific policy responses</w:t>
      </w:r>
    </w:p>
    <w:p>
      <w:pPr>
        <w:pStyle w:val="ListParagraph"/>
        <w:numPr>
          <w:ilvl w:val="0"/>
          <w:numId w:val="2"/>
        </w:numPr>
        <w:spacing w:after="80"/>
      </w:pPr>
      <w:r>
        <w:rPr>
          <w:rFonts w:ascii="Arial" w:cs="Arial" w:eastAsia="Arial" w:hAnsi="Arial"/>
          <w:color w:val="455A64"/>
          <w:sz w:val="20"/>
          <w:szCs w:val="20"/>
        </w:rPr>
        <w:t xml:space="preserve">Telehealth adoption grew 7.5x from 2019 to 2024 (8.2% → 61.4%), representing the most significant structural transformation in MH care delivery</w:t>
      </w:r>
    </w:p>
    <w:p>
      <w:pPr>
        <w:pStyle w:val="ListParagraph"/>
        <w:numPr>
          <w:ilvl w:val="0"/>
          <w:numId w:val="2"/>
        </w:numPr>
        <w:spacing w:after="80"/>
      </w:pPr>
      <w:r>
        <w:rPr>
          <w:rFonts w:ascii="Arial" w:cs="Arial" w:eastAsia="Arial" w:hAnsi="Arial"/>
          <w:color w:val="455A64"/>
          <w:sz w:val="20"/>
          <w:szCs w:val="20"/>
        </w:rPr>
        <w:t xml:space="preserve">Hybrid work models at 26–50% remote work optimize both wellbeing and productivity — purely on-site or fully remote arrangements underperform</w:t>
      </w:r>
    </w:p>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Research Design &amp; Methodology</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Research Questions</w:t>
      </w:r>
    </w:p>
    <w:p>
      <w:pPr>
        <w:spacing w:after="120" w:before="0"/>
        <w:jc w:val="left"/>
      </w:pPr>
      <w:r>
        <w:rPr>
          <w:rFonts w:ascii="Arial" w:cs="Arial" w:eastAsia="Arial" w:hAnsi="Arial"/>
          <w:color w:val="455A64"/>
          <w:sz w:val="20"/>
          <w:szCs w:val="20"/>
        </w:rPr>
        <w:t xml:space="preserve">This study was designed to answer five interconnected questions: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Research Question</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Analysis Method</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 Used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How has global MH prevalence evolved, and what was COVID's lasting impact?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Time-series trend, index tracking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DS1 + DS4</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2</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How does economic development correlate with the treatment gap?</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Pearson correlation, scatter analysis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DS1 + DS3</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What factors most strongly predict employee productivity?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ML feature importance (GBR)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DS2</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4</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What is the economic cost of MH, and what ROI does investment deliver?</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Cost modeling, scenario analysis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DS3</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How are countries recovering post-COVID, and where is telehealth transforming access?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Quarterly recovery index, heatmap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DS4</w:t>
            </w:r>
          </w:p>
        </w:tc>
      </w:tr>
    </w:tbl>
    <w:p>
      <w:pPr>
        <w:spacing w:after="120"/>
      </w:pPr>
      <w:r>
        <w:t xml:space="preserve"/>
      </w:r>
    </w:p>
    <w:p>
      <w:pPr>
        <w:pStyle w:val="Heading2"/>
        <w:spacing w:after="160" w:before="320"/>
      </w:pPr>
      <w:r>
        <w:rPr>
          <w:rFonts w:ascii="Arial" w:cs="Arial" w:eastAsia="Arial" w:hAnsi="Arial"/>
          <w:b/>
          <w:bCs/>
          <w:color w:val="0A2342"/>
          <w:sz w:val="28"/>
          <w:szCs w:val="28"/>
        </w:rPr>
        <w:t xml:space="preserve">Dataset Architecture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Records</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Coverage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Variables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DS1: Country Mental Health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300 rows (30×10yr)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 countries, 2015-2024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Prevalence, treatment gap, MH professionals, govt spend</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DS2: Workforce Survey</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8,500 respondents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10 sectors, all regions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Wellbeing, burnout, productivity, absenteeism, remote work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DS3: Economic Cost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300 rows (30×10yr)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 countries, 2015-2024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MH cost as % GDP, lost productivity, healthcare cost, ROI</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DS4: COVID Recovery</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480 quarters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20 countries, 2019-2024</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Anxiety/depression indices, telehealth %, workforce participation</w:t>
            </w:r>
          </w:p>
        </w:tc>
      </w:tr>
    </w:tbl>
    <w:p>
      <w:pPr>
        <w:spacing w:after="120"/>
      </w:pPr>
      <w:r>
        <w:t xml:space="preserve"/>
      </w:r>
    </w:p>
    <w:p>
      <w:pPr>
        <w:pStyle w:val="Heading2"/>
        <w:spacing w:after="160" w:before="320"/>
      </w:pPr>
      <w:r>
        <w:rPr>
          <w:rFonts w:ascii="Arial" w:cs="Arial" w:eastAsia="Arial" w:hAnsi="Arial"/>
          <w:b/>
          <w:bCs/>
          <w:color w:val="0A2342"/>
          <w:sz w:val="28"/>
          <w:szCs w:val="28"/>
        </w:rPr>
        <w:t xml:space="preserve">Analytical Methods</w:t>
      </w:r>
    </w:p>
    <w:p>
      <w:pPr>
        <w:pStyle w:val="ListParagraph"/>
        <w:numPr>
          <w:ilvl w:val="0"/>
          <w:numId w:val="2"/>
        </w:numPr>
        <w:spacing w:after="80"/>
      </w:pPr>
      <w:r>
        <w:rPr>
          <w:rFonts w:ascii="Arial" w:cs="Arial" w:eastAsia="Arial" w:hAnsi="Arial"/>
          <w:color w:val="455A64"/>
          <w:sz w:val="20"/>
          <w:szCs w:val="20"/>
        </w:rPr>
        <w:t xml:space="preserve">Descriptive Statistics: Mean, standard deviation, quartile analysis across all variables</w:t>
      </w:r>
    </w:p>
    <w:p>
      <w:pPr>
        <w:pStyle w:val="ListParagraph"/>
        <w:numPr>
          <w:ilvl w:val="0"/>
          <w:numId w:val="2"/>
        </w:numPr>
        <w:spacing w:after="80"/>
      </w:pPr>
      <w:r>
        <w:rPr>
          <w:rFonts w:ascii="Arial" w:cs="Arial" w:eastAsia="Arial" w:hAnsi="Arial"/>
          <w:color w:val="455A64"/>
          <w:sz w:val="20"/>
          <w:szCs w:val="20"/>
        </w:rPr>
        <w:t xml:space="preserve">Correlation Analysis: Pearson r for continuous variables, ANOVA for categorical comparisons</w:t>
      </w:r>
    </w:p>
    <w:p>
      <w:pPr>
        <w:pStyle w:val="ListParagraph"/>
        <w:numPr>
          <w:ilvl w:val="0"/>
          <w:numId w:val="2"/>
        </w:numPr>
        <w:spacing w:after="80"/>
      </w:pPr>
      <w:r>
        <w:rPr>
          <w:rFonts w:ascii="Arial" w:cs="Arial" w:eastAsia="Arial" w:hAnsi="Arial"/>
          <w:color w:val="455A64"/>
          <w:sz w:val="20"/>
          <w:szCs w:val="20"/>
        </w:rPr>
        <w:t xml:space="preserve">Time-Series Analysis: Trend decomposition, COVID impact measurement, recovery indexing</w:t>
      </w:r>
    </w:p>
    <w:p>
      <w:pPr>
        <w:pStyle w:val="ListParagraph"/>
        <w:numPr>
          <w:ilvl w:val="0"/>
          <w:numId w:val="2"/>
        </w:numPr>
        <w:spacing w:after="80"/>
      </w:pPr>
      <w:r>
        <w:rPr>
          <w:rFonts w:ascii="Arial" w:cs="Arial" w:eastAsia="Arial" w:hAnsi="Arial"/>
          <w:color w:val="455A64"/>
          <w:sz w:val="20"/>
          <w:szCs w:val="20"/>
        </w:rPr>
        <w:t xml:space="preserve">Machine Learning: Gradient Boosting Regressor for productivity prediction (5-fold CV)</w:t>
      </w:r>
    </w:p>
    <w:p>
      <w:pPr>
        <w:pStyle w:val="ListParagraph"/>
        <w:numPr>
          <w:ilvl w:val="0"/>
          <w:numId w:val="2"/>
        </w:numPr>
        <w:spacing w:after="80"/>
      </w:pPr>
      <w:r>
        <w:rPr>
          <w:rFonts w:ascii="Arial" w:cs="Arial" w:eastAsia="Arial" w:hAnsi="Arial"/>
          <w:color w:val="455A64"/>
          <w:sz w:val="20"/>
          <w:szCs w:val="20"/>
        </w:rPr>
        <w:t xml:space="preserve">Forecasting: Linear regression extrapolation for 2025–2027 cost projections</w:t>
      </w:r>
    </w:p>
    <w:p>
      <w:pPr>
        <w:pStyle w:val="ListParagraph"/>
        <w:numPr>
          <w:ilvl w:val="0"/>
          <w:numId w:val="2"/>
        </w:numPr>
        <w:spacing w:after="80"/>
      </w:pPr>
      <w:r>
        <w:rPr>
          <w:rFonts w:ascii="Arial" w:cs="Arial" w:eastAsia="Arial" w:hAnsi="Arial"/>
          <w:color w:val="455A64"/>
          <w:sz w:val="20"/>
          <w:szCs w:val="20"/>
        </w:rPr>
        <w:t xml:space="preserve">Scenario Modeling: Conservative/moderate/optimistic ROI simulation for investment planning</w:t>
      </w:r>
    </w:p>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Executive Intelligence Dashboard</w:t>
      </w:r>
    </w:p>
    <w:p>
      <w:pPr>
        <w:pBdr>
          <w:bottom w:val="single" w:color="0A2342" w:sz="6" w:space="1"/>
        </w:pBdr>
        <w:spacing w:after="80" w:before="80"/>
      </w:pPr>
      <w:r>
        <w:t xml:space="preserve"/>
      </w:r>
    </w:p>
    <w:p>
      <w:pPr>
        <w:spacing w:after="120" w:before="0"/>
        <w:jc w:val="left"/>
      </w:pPr>
      <w:r>
        <w:rPr>
          <w:rFonts w:ascii="Arial" w:cs="Arial" w:eastAsia="Arial" w:hAnsi="Arial"/>
          <w:color w:val="455A64"/>
          <w:sz w:val="20"/>
          <w:szCs w:val="20"/>
        </w:rPr>
        <w:t xml:space="preserve">The dashboard below synthesizes all four datasets into a unified executive view. The top row presents global KPI cards; subsequent panels show regional prevalence trends, the largest economic burden countries, sector burnout rankings, and the foundational wellbeing–productivity relationship.</w:t>
      </w:r>
    </w:p>
    <w:p>
      <w:pPr>
        <w:spacing w:after="60"/>
      </w:pPr>
      <w:r>
        <w:t xml:space="preserve"/>
      </w:r>
    </w:p>
    <w:p>
      <w:pPr>
        <w:spacing w:after="80" w:before="80"/>
        <w:jc w:val="center"/>
      </w:pPr>
      <w:r>
        <w:drawing>
          <wp:inline distT="0" distB="0" distL="0" distR="0">
            <wp:extent cx="11239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504825"/>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1: Executive Intelligence Dashboard — Global Mental Health &amp; Workforce Productivity (2015–2024)</w:t>
      </w:r>
    </w:p>
    <w:p>
      <w:pPr>
        <w:spacing w:after="60"/>
      </w:pPr>
      <w:r>
        <w:t xml:space="preserve"/>
      </w:r>
    </w:p>
    <w:p>
      <w:pPr>
        <w:pStyle w:val="Heading3"/>
        <w:spacing w:after="120" w:before="240"/>
      </w:pPr>
      <w:r>
        <w:rPr>
          <w:rFonts w:ascii="Arial" w:cs="Arial" w:eastAsia="Arial" w:hAnsi="Arial"/>
          <w:b/>
          <w:bCs/>
          <w:color w:val="0A2342"/>
          <w:sz w:val="24"/>
          <w:szCs w:val="24"/>
        </w:rPr>
        <w:t xml:space="preserve">Dashboard Interpretation</w:t>
      </w:r>
    </w:p>
    <w:p>
      <w:pPr>
        <w:pStyle w:val="ListParagraph"/>
        <w:numPr>
          <w:ilvl w:val="0"/>
          <w:numId w:val="2"/>
        </w:numPr>
        <w:spacing w:after="80"/>
      </w:pPr>
      <w:r>
        <w:rPr>
          <w:rFonts w:ascii="Arial" w:cs="Arial" w:eastAsia="Arial" w:hAnsi="Arial"/>
          <w:color w:val="455A64"/>
          <w:sz w:val="20"/>
          <w:szCs w:val="20"/>
        </w:rPr>
        <w:t xml:space="preserve">Top-left panel: Regional prevalence has risen across all 6 regions, with North America and Europe recording the steepest increases post-2019</w:t>
      </w:r>
    </w:p>
    <w:p>
      <w:pPr>
        <w:pStyle w:val="ListParagraph"/>
        <w:numPr>
          <w:ilvl w:val="0"/>
          <w:numId w:val="2"/>
        </w:numPr>
        <w:spacing w:after="80"/>
      </w:pPr>
      <w:r>
        <w:rPr>
          <w:rFonts w:ascii="Arial" w:cs="Arial" w:eastAsia="Arial" w:hAnsi="Arial"/>
          <w:color w:val="455A64"/>
          <w:sz w:val="20"/>
          <w:szCs w:val="20"/>
        </w:rPr>
        <w:t xml:space="preserve">Top-right panel: The US, China, and Brazil carry the heaviest absolute economic burdens due to population size, not necessarily per-capita cost</w:t>
      </w:r>
    </w:p>
    <w:p>
      <w:pPr>
        <w:pStyle w:val="ListParagraph"/>
        <w:numPr>
          <w:ilvl w:val="0"/>
          <w:numId w:val="2"/>
        </w:numPr>
        <w:spacing w:after="80"/>
      </w:pPr>
      <w:r>
        <w:rPr>
          <w:rFonts w:ascii="Arial" w:cs="Arial" w:eastAsia="Arial" w:hAnsi="Arial"/>
          <w:color w:val="455A64"/>
          <w:sz w:val="20"/>
          <w:szCs w:val="20"/>
        </w:rPr>
        <w:t xml:space="preserve">Bottom-left panel: Healthcare sector burnout (7.08) is significantly above the cross-sector average (5.9), reflecting systemic workforce strain</w:t>
      </w:r>
    </w:p>
    <w:p>
      <w:pPr>
        <w:pStyle w:val="ListParagraph"/>
        <w:numPr>
          <w:ilvl w:val="0"/>
          <w:numId w:val="2"/>
        </w:numPr>
        <w:spacing w:after="80"/>
      </w:pPr>
      <w:r>
        <w:rPr>
          <w:rFonts w:ascii="Arial" w:cs="Arial" w:eastAsia="Arial" w:hAnsi="Arial"/>
          <w:color w:val="455A64"/>
          <w:sz w:val="20"/>
          <w:szCs w:val="20"/>
        </w:rPr>
        <w:t xml:space="preserve">Bottom-right scatter: The strong positive correlation (r = 0.61) between wellbeing and productivity confirms the business case for employee MH investment</w:t>
      </w:r>
    </w:p>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Treatment Gap &amp; Healthcare Investment Analysis</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The Global Treatment Crisis</w:t>
      </w:r>
    </w:p>
    <w:p>
      <w:pPr>
        <w:spacing w:after="120" w:before="0"/>
        <w:jc w:val="left"/>
      </w:pPr>
      <w:r>
        <w:rPr>
          <w:rFonts w:ascii="Arial" w:cs="Arial" w:eastAsia="Arial" w:hAnsi="Arial"/>
          <w:color w:val="455A64"/>
          <w:sz w:val="20"/>
          <w:szCs w:val="20"/>
        </w:rPr>
        <w:t xml:space="preserve">A treatment gap — the proportion of people with a mental health condition who do not receive appropriate care — represents one of the most critical failures in global health equity. Our analysis reveals a persistent, GDP-correlated disparity that translates directly into preventable human and economic suffering.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3F2FD" w:val="clear"/>
            <w:tcMar>
              <w:top w:type="dxa" w:w="120"/>
              <w:left w:type="dxa" w:w="140"/>
              <w:bottom w:type="dxa" w:w="120"/>
              <w:right w:type="dxa" w:w="140"/>
            </w:tcMar>
            <w:vAlign w:val="center"/>
          </w:tcPr>
          <w:p>
            <w:pPr>
              <w:spacing w:before="60"/>
              <w:jc w:val="center"/>
            </w:pPr>
            <w:r>
              <w:rPr>
                <w:rFonts w:ascii="Arial" w:cs="Arial" w:eastAsia="Arial" w:hAnsi="Arial"/>
                <w:b/>
                <w:bCs/>
                <w:color w:val="1565C0"/>
                <w:sz w:val="32"/>
                <w:szCs w:val="32"/>
              </w:rPr>
              <w:t xml:space="preserve">−0.82</w:t>
            </w:r>
          </w:p>
          <w:p>
            <w:pPr>
              <w:spacing w:after="60"/>
              <w:jc w:val="center"/>
            </w:pPr>
            <w:r>
              <w:rPr>
                <w:rFonts w:ascii="Arial" w:cs="Arial" w:eastAsia="Arial" w:hAnsi="Arial"/>
                <w:color w:val="455A64"/>
                <w:sz w:val="17"/>
                <w:szCs w:val="17"/>
              </w:rPr>
              <w:t xml:space="preserve">GDP-Treatment Gap
Correlation (r)</w:t>
            </w:r>
          </w:p>
        </w:tc>
        <w:tc>
          <w:tcPr>
            <w:tcW w:type="dxa" w:w="2340"/>
            <w:tcBorders>
              <w:top w:val="single" w:color="CCCCCC" w:sz="1"/>
              <w:left w:val="single" w:color="CCCCCC" w:sz="1"/>
              <w:bottom w:val="single" w:color="CCCCCC" w:sz="1"/>
              <w:right w:val="single" w:color="CCCCCC" w:sz="1"/>
            </w:tcBorders>
            <w:shd w:fill="FFEBEE" w:val="clear"/>
            <w:tcMar>
              <w:top w:type="dxa" w:w="120"/>
              <w:left w:type="dxa" w:w="140"/>
              <w:bottom w:type="dxa" w:w="120"/>
              <w:right w:type="dxa" w:w="140"/>
            </w:tcMar>
            <w:vAlign w:val="center"/>
          </w:tcPr>
          <w:p>
            <w:pPr>
              <w:spacing w:before="60"/>
              <w:jc w:val="center"/>
            </w:pPr>
            <w:r>
              <w:rPr>
                <w:rFonts w:ascii="Arial" w:cs="Arial" w:eastAsia="Arial" w:hAnsi="Arial"/>
                <w:b/>
                <w:bCs/>
                <w:color w:val="C62828"/>
                <w:sz w:val="32"/>
                <w:szCs w:val="32"/>
              </w:rPr>
              <w:t xml:space="preserve">88%</w:t>
            </w:r>
          </w:p>
          <w:p>
            <w:pPr>
              <w:spacing w:after="60"/>
              <w:jc w:val="center"/>
            </w:pPr>
            <w:r>
              <w:rPr>
                <w:rFonts w:ascii="Arial" w:cs="Arial" w:eastAsia="Arial" w:hAnsi="Arial"/>
                <w:color w:val="455A64"/>
                <w:sz w:val="17"/>
                <w:szCs w:val="17"/>
              </w:rPr>
              <w:t xml:space="preserve">Highest Treatment
Gap (Africa)</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vAlign w:val="center"/>
          </w:tcPr>
          <w:p>
            <w:pPr>
              <w:spacing w:before="60"/>
              <w:jc w:val="center"/>
            </w:pPr>
            <w:r>
              <w:rPr>
                <w:rFonts w:ascii="Arial" w:cs="Arial" w:eastAsia="Arial" w:hAnsi="Arial"/>
                <w:b/>
                <w:bCs/>
                <w:color w:val="2E7D32"/>
                <w:sz w:val="32"/>
                <w:szCs w:val="32"/>
              </w:rPr>
              <w:t xml:space="preserve">18%</w:t>
            </w:r>
          </w:p>
          <w:p>
            <w:pPr>
              <w:spacing w:after="60"/>
              <w:jc w:val="center"/>
            </w:pPr>
            <w:r>
              <w:rPr>
                <w:rFonts w:ascii="Arial" w:cs="Arial" w:eastAsia="Arial" w:hAnsi="Arial"/>
                <w:color w:val="455A64"/>
                <w:sz w:val="17"/>
                <w:szCs w:val="17"/>
              </w:rPr>
              <w:t xml:space="preserve">Lowest Treatment
Gap (Europe)</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vAlign w:val="center"/>
          </w:tcPr>
          <w:p>
            <w:pPr>
              <w:spacing w:before="60"/>
              <w:jc w:val="center"/>
            </w:pPr>
            <w:r>
              <w:rPr>
                <w:rFonts w:ascii="Arial" w:cs="Arial" w:eastAsia="Arial" w:hAnsi="Arial"/>
                <w:b/>
                <w:bCs/>
                <w:color w:val="E65100"/>
                <w:sz w:val="32"/>
                <w:szCs w:val="32"/>
              </w:rPr>
              <w:t xml:space="preserve">1.2M</w:t>
            </w:r>
          </w:p>
          <w:p>
            <w:pPr>
              <w:spacing w:after="60"/>
              <w:jc w:val="center"/>
            </w:pPr>
            <w:r>
              <w:rPr>
                <w:rFonts w:ascii="Arial" w:cs="Arial" w:eastAsia="Arial" w:hAnsi="Arial"/>
                <w:color w:val="455A64"/>
                <w:sz w:val="17"/>
                <w:szCs w:val="17"/>
              </w:rPr>
              <w:t xml:space="preserve">Global MH Workforce
Shortfall</w:t>
            </w:r>
          </w:p>
        </w:tc>
      </w:tr>
    </w:tbl>
    <w:p>
      <w:pPr>
        <w:spacing w:after="120"/>
      </w:pPr>
      <w:r>
        <w:t xml:space="preserve"/>
      </w:r>
    </w:p>
    <w:p>
      <w:pPr>
        <w:spacing w:after="80" w:before="80"/>
        <w:jc w:val="center"/>
      </w:pPr>
      <w:r>
        <w:drawing>
          <wp:inline distT="0" distB="0" distL="0" distR="0">
            <wp:extent cx="11239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 cy="495300"/>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2: Treatment Gap &amp; Healthcare Investment Analysis — GDP correlation, regional workforce, and ROI by country</w:t>
      </w:r>
    </w:p>
    <w:p>
      <w:pPr>
        <w:spacing w:after="60"/>
      </w:pPr>
      <w:r>
        <w:t xml:space="preserve"/>
      </w:r>
    </w:p>
    <w:p>
      <w:pPr>
        <w:pStyle w:val="Heading3"/>
        <w:spacing w:after="120" w:before="240"/>
      </w:pPr>
      <w:r>
        <w:rPr>
          <w:rFonts w:ascii="Arial" w:cs="Arial" w:eastAsia="Arial" w:hAnsi="Arial"/>
          <w:b/>
          <w:bCs/>
          <w:color w:val="0A2342"/>
          <w:sz w:val="24"/>
          <w:szCs w:val="24"/>
        </w:rPr>
        <w:t xml:space="preserve">Key Analytical Findings</w:t>
      </w:r>
    </w:p>
    <w:p>
      <w:pPr>
        <w:pStyle w:val="ListParagraph"/>
        <w:numPr>
          <w:ilvl w:val="0"/>
          <w:numId w:val="2"/>
        </w:numPr>
        <w:spacing w:after="80"/>
      </w:pPr>
      <w:r>
        <w:rPr>
          <w:rFonts w:ascii="Arial" w:cs="Arial" w:eastAsia="Arial" w:hAnsi="Arial"/>
          <w:color w:val="455A64"/>
          <w:sz w:val="20"/>
          <w:szCs w:val="20"/>
        </w:rPr>
        <w:t xml:space="preserve">The correlation between GDP per capita and treatment gap is r = −0.82 (p &lt; 0.001) — the strongest relationship in the dataset. Higher income strongly predicts better treatment access.</w:t>
      </w:r>
    </w:p>
    <w:p>
      <w:pPr>
        <w:pStyle w:val="ListParagraph"/>
        <w:numPr>
          <w:ilvl w:val="0"/>
          <w:numId w:val="2"/>
        </w:numPr>
        <w:spacing w:after="80"/>
      </w:pPr>
      <w:r>
        <w:rPr>
          <w:rFonts w:ascii="Arial" w:cs="Arial" w:eastAsia="Arial" w:hAnsi="Arial"/>
          <w:color w:val="455A64"/>
          <w:sz w:val="20"/>
          <w:szCs w:val="20"/>
        </w:rPr>
        <w:t xml:space="preserve">African and South Asian regions maintain treatment gaps exceeding 80%, despite MH prevalence rates comparable to wealthier nations</w:t>
      </w:r>
    </w:p>
    <w:p>
      <w:pPr>
        <w:pStyle w:val="ListParagraph"/>
        <w:numPr>
          <w:ilvl w:val="0"/>
          <w:numId w:val="2"/>
        </w:numPr>
        <w:spacing w:after="80"/>
      </w:pPr>
      <w:r>
        <w:rPr>
          <w:rFonts w:ascii="Arial" w:cs="Arial" w:eastAsia="Arial" w:hAnsi="Arial"/>
          <w:color w:val="455A64"/>
          <w:sz w:val="20"/>
          <w:szCs w:val="20"/>
        </w:rPr>
        <w:t xml:space="preserve">The ROI analysis shows Switzerland, Norway, and Netherlands achieving the highest returns on MH investment ($4.8–5.1 per $1 spent), demonstrating the compounding value of sustained investment</w:t>
      </w:r>
    </w:p>
    <w:p>
      <w:pPr>
        <w:pStyle w:val="ListParagraph"/>
        <w:numPr>
          <w:ilvl w:val="0"/>
          <w:numId w:val="2"/>
        </w:numPr>
        <w:spacing w:after="80"/>
      </w:pPr>
      <w:r>
        <w:rPr>
          <w:rFonts w:ascii="Arial" w:cs="Arial" w:eastAsia="Arial" w:hAnsi="Arial"/>
          <w:color w:val="455A64"/>
          <w:sz w:val="20"/>
          <w:szCs w:val="20"/>
        </w:rPr>
        <w:t xml:space="preserve">Countries with below 3 MH professionals per 100,000 population (Nigeria, Kenya, India) face structural barriers that price discounting alone cannot solve</w:t>
      </w:r>
    </w:p>
    <w:p>
      <w:pPr>
        <w:spacing w:after="60"/>
      </w:pPr>
      <w:r>
        <w:t xml:space="preserve"/>
      </w:r>
    </w:p>
    <w:p>
      <w:pPr>
        <w:pStyle w:val="Heading2"/>
        <w:spacing w:after="160" w:before="320"/>
      </w:pPr>
      <w:r>
        <w:rPr>
          <w:rFonts w:ascii="Arial" w:cs="Arial" w:eastAsia="Arial" w:hAnsi="Arial"/>
          <w:b/>
          <w:bCs/>
          <w:color w:val="0A2342"/>
          <w:sz w:val="28"/>
          <w:szCs w:val="28"/>
        </w:rPr>
        <w:t xml:space="preserve">Investment Return Analysis</w:t>
      </w:r>
    </w:p>
    <w:p>
      <w:pPr>
        <w:spacing w:after="120" w:before="0"/>
        <w:jc w:val="left"/>
      </w:pPr>
      <w:r>
        <w:rPr>
          <w:rFonts w:ascii="Arial" w:cs="Arial" w:eastAsia="Arial" w:hAnsi="Arial"/>
          <w:color w:val="455A64"/>
          <w:sz w:val="20"/>
          <w:szCs w:val="20"/>
        </w:rPr>
        <w:t xml:space="preserve">The WHO estimates a $4 return for every $1 invested in evidence-based MH treatment. Our country-level analysis confirms this with notable variation by development context: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Development Level</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Treatment Gap</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MH ROI</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Bottleneck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High Income (&gt;$40k GDP/cap)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$4.2–5.1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Stigma, access to specialists</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Upper Middle Income ($10-40k)</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52%</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$3.1–4.0</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Workforce shortage, rural access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Lower Middle Income ($2-10k)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$2.4–3.5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Funding, training infrastructure</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Low Income (&lt;$2k)</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87%</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$1.8–2.8</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Systems capacity, awareness</w:t>
            </w:r>
          </w:p>
        </w:tc>
      </w:tr>
    </w:tbl>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Workforce Mental Health &amp; Productivity Analysis</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Survey Methodology &amp; Sample Profile</w:t>
      </w:r>
    </w:p>
    <w:p>
      <w:pPr>
        <w:spacing w:after="120" w:before="0"/>
        <w:jc w:val="left"/>
      </w:pPr>
      <w:r>
        <w:rPr>
          <w:rFonts w:ascii="Arial" w:cs="Arial" w:eastAsia="Arial" w:hAnsi="Arial"/>
          <w:color w:val="455A64"/>
          <w:sz w:val="20"/>
          <w:szCs w:val="20"/>
        </w:rPr>
        <w:t xml:space="preserve">The workforce dataset comprises 8,500 employee records across 10 industry sectors, 30 countries, and all major age cohorts from 2015–2024. Productivity scores (0–100), wellbeing scores (0–100), and burnout risk scores (0–10) were derived from validated psychometric frameworks aligned with WHO-5, MBI (Maslach Burnout Inventory), and engagement survey standards.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Sector</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Sample Size</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Burnout</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Wellbeing</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Productivity</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Absenteeism (days)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Healthcare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7.08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58.2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61.4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9.8</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Finance</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6.82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56.8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62.1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9.2</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Technology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65.3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8.1</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Education</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6.47</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57.9</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63.2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8.7</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Government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4.90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66.4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71.8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6.1</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Manufacturing</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5.38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62.3</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68.1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7.4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Retail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5.80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61.7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66.4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7.9</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Construction</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5.20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63.1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69.2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7.1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Transportation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5.60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67.3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7.6</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Agriculture</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4.70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67.8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73.1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5.8</w:t>
            </w:r>
          </w:p>
        </w:tc>
      </w:tr>
    </w:tbl>
    <w:p>
      <w:pPr>
        <w:spacing w:after="120"/>
      </w:pPr>
      <w:r>
        <w:t xml:space="preserve"/>
      </w:r>
    </w:p>
    <w:p>
      <w:pPr>
        <w:spacing w:after="80" w:before="80"/>
        <w:jc w:val="center"/>
      </w:pPr>
      <w:r>
        <w:drawing>
          <wp:inline distT="0" distB="0" distL="0" distR="0">
            <wp:extent cx="11239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504825"/>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3: Workforce Deep Dive — Sector burnout, remote work impact, age-sector heatmap, and metric correlations</w:t>
      </w:r>
    </w:p>
    <w:p>
      <w:pPr>
        <w:spacing w:after="60"/>
      </w:pPr>
      <w:r>
        <w:t xml:space="preserve"/>
      </w:r>
    </w:p>
    <w:p>
      <w:pPr>
        <w:pStyle w:val="Heading3"/>
        <w:spacing w:after="120" w:before="240"/>
      </w:pPr>
      <w:r>
        <w:rPr>
          <w:rFonts w:ascii="Arial" w:cs="Arial" w:eastAsia="Arial" w:hAnsi="Arial"/>
          <w:b/>
          <w:bCs/>
          <w:color w:val="0A2342"/>
          <w:sz w:val="24"/>
          <w:szCs w:val="24"/>
        </w:rPr>
        <w:t xml:space="preserve">Critical Workforce Insights</w:t>
      </w:r>
    </w:p>
    <w:p>
      <w:pPr>
        <w:pStyle w:val="ListParagraph"/>
        <w:numPr>
          <w:ilvl w:val="0"/>
          <w:numId w:val="2"/>
        </w:numPr>
        <w:spacing w:after="80"/>
      </w:pPr>
      <w:r>
        <w:rPr>
          <w:rFonts w:ascii="Arial" w:cs="Arial" w:eastAsia="Arial" w:hAnsi="Arial"/>
          <w:color w:val="455A64"/>
          <w:sz w:val="20"/>
          <w:szCs w:val="20"/>
        </w:rPr>
        <w:t xml:space="preserve">The productivity-wellbeing correlation is r = +0.61, statistically significant at p &lt; 0.001 across all 8,500 observations</w:t>
      </w:r>
    </w:p>
    <w:p>
      <w:pPr>
        <w:pStyle w:val="ListParagraph"/>
        <w:numPr>
          <w:ilvl w:val="0"/>
          <w:numId w:val="2"/>
        </w:numPr>
        <w:spacing w:after="80"/>
      </w:pPr>
      <w:r>
        <w:rPr>
          <w:rFonts w:ascii="Arial" w:cs="Arial" w:eastAsia="Arial" w:hAnsi="Arial"/>
          <w:color w:val="455A64"/>
          <w:sz w:val="20"/>
          <w:szCs w:val="20"/>
        </w:rPr>
        <w:t xml:space="preserve">Diagnosed employees who have mental health support access show absenteeism nearly equivalent to non-diagnosed peers (7.2 vs 6.8 days/year), demonstrating support effectiveness</w:t>
      </w:r>
    </w:p>
    <w:p>
      <w:pPr>
        <w:pStyle w:val="ListParagraph"/>
        <w:numPr>
          <w:ilvl w:val="0"/>
          <w:numId w:val="2"/>
        </w:numPr>
        <w:spacing w:after="80"/>
      </w:pPr>
      <w:r>
        <w:rPr>
          <w:rFonts w:ascii="Arial" w:cs="Arial" w:eastAsia="Arial" w:hAnsi="Arial"/>
          <w:color w:val="455A64"/>
          <w:sz w:val="20"/>
          <w:szCs w:val="20"/>
        </w:rPr>
        <w:t xml:space="preserve">Diagnosed employees without support access show 2.3x higher absenteeism (15.4 days/year) — the largest single modifiable risk factor</w:t>
      </w:r>
    </w:p>
    <w:p>
      <w:pPr>
        <w:pStyle w:val="ListParagraph"/>
        <w:numPr>
          <w:ilvl w:val="0"/>
          <w:numId w:val="2"/>
        </w:numPr>
        <w:spacing w:after="80"/>
      </w:pPr>
      <w:r>
        <w:rPr>
          <w:rFonts w:ascii="Arial" w:cs="Arial" w:eastAsia="Arial" w:hAnsi="Arial"/>
          <w:color w:val="455A64"/>
          <w:sz w:val="20"/>
          <w:szCs w:val="20"/>
        </w:rPr>
        <w:t xml:space="preserve">The age-sector burnout heatmap reveals 26–35 year old healthcare workers as the highest-risk demographic (burnout: 7.4/10)</w:t>
      </w:r>
    </w:p>
    <w:p>
      <w:pPr>
        <w:spacing w:after="60"/>
      </w:pPr>
      <w:r>
        <w:t xml:space="preserve"/>
      </w:r>
    </w:p>
    <w:p>
      <w:pPr>
        <w:pStyle w:val="Heading2"/>
        <w:spacing w:after="160" w:before="320"/>
      </w:pPr>
      <w:r>
        <w:rPr>
          <w:rFonts w:ascii="Arial" w:cs="Arial" w:eastAsia="Arial" w:hAnsi="Arial"/>
          <w:b/>
          <w:bCs/>
          <w:color w:val="0A2342"/>
          <w:sz w:val="28"/>
          <w:szCs w:val="28"/>
        </w:rPr>
        <w:t xml:space="preserve">Remote Work &amp; Post-COVID Work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Remote Work Level</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Wellbeing</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Burnout</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Productivity</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Observation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0% — Fully On-site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58.1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63.2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Below average on all metrics</w:t>
            </w:r>
          </w:p>
        </w:tc>
      </w:tr>
      <w:tr>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1–25% — Mostly On-site</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60.4</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6.1</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65.8</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Marginal improvement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26–50% — Hybrid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65.2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68.4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Optimal zone for all metrics</w:t>
            </w:r>
          </w:p>
        </w:tc>
      </w:tr>
      <w:tr>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51–75% — Mostly Remote</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63.7</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5.9</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67.1</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Slightly below optimal</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76–100% — Fully Remote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61.8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65.4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Isolation effects emerge</w:t>
            </w:r>
          </w:p>
        </w:tc>
      </w:tr>
    </w:tbl>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COVID-19 Recovery &amp; Telehealth Transformation</w:t>
      </w:r>
    </w:p>
    <w:p>
      <w:pPr>
        <w:pBdr>
          <w:bottom w:val="single" w:color="0A2342" w:sz="6" w:space="1"/>
        </w:pBdr>
        <w:spacing w:after="80" w:before="80"/>
      </w:pPr>
      <w:r>
        <w:t xml:space="preserve"/>
      </w:r>
    </w:p>
    <w:p>
      <w:pPr>
        <w:spacing w:after="60"/>
      </w:pPr>
      <w:r>
        <w:t xml:space="preserve"/>
      </w:r>
    </w:p>
    <w:p>
      <w:pPr>
        <w:spacing w:after="120" w:before="0"/>
        <w:jc w:val="left"/>
      </w:pPr>
      <w:r>
        <w:rPr>
          <w:rFonts w:ascii="Arial" w:cs="Arial" w:eastAsia="Arial" w:hAnsi="Arial"/>
          <w:color w:val="455A64"/>
          <w:sz w:val="20"/>
          <w:szCs w:val="20"/>
        </w:rPr>
        <w:t xml:space="preserve">The COVID-19 pandemic represented an unprecedented shock to global mental health systems — simultaneously increasing demand (anxiety/depression surge) while disrupting supply (service closures, workforce redeployment). Our quarterly tracking of 20 countries from 2019–2024 quantifies both the damage and the recovery.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EBEE" w:val="clear"/>
            <w:tcMar>
              <w:top w:type="dxa" w:w="120"/>
              <w:left w:type="dxa" w:w="140"/>
              <w:bottom w:type="dxa" w:w="120"/>
              <w:right w:type="dxa" w:w="140"/>
            </w:tcMar>
            <w:vAlign w:val="center"/>
          </w:tcPr>
          <w:p>
            <w:pPr>
              <w:spacing w:before="60"/>
              <w:jc w:val="center"/>
            </w:pPr>
            <w:r>
              <w:rPr>
                <w:rFonts w:ascii="Arial" w:cs="Arial" w:eastAsia="Arial" w:hAnsi="Arial"/>
                <w:b/>
                <w:bCs/>
                <w:color w:val="C62828"/>
                <w:sz w:val="32"/>
                <w:szCs w:val="32"/>
              </w:rPr>
              <w:t xml:space="preserve">+32.5pts</w:t>
            </w:r>
          </w:p>
          <w:p>
            <w:pPr>
              <w:spacing w:after="60"/>
              <w:jc w:val="center"/>
            </w:pPr>
            <w:r>
              <w:rPr>
                <w:rFonts w:ascii="Arial" w:cs="Arial" w:eastAsia="Arial" w:hAnsi="Arial"/>
                <w:color w:val="455A64"/>
                <w:sz w:val="17"/>
                <w:szCs w:val="17"/>
              </w:rPr>
              <w:t xml:space="preserve">Peak Anxiety Index
Surge (Q2 2020)</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vAlign w:val="center"/>
          </w:tcPr>
          <w:p>
            <w:pPr>
              <w:spacing w:before="60"/>
              <w:jc w:val="center"/>
            </w:pPr>
            <w:r>
              <w:rPr>
                <w:rFonts w:ascii="Arial" w:cs="Arial" w:eastAsia="Arial" w:hAnsi="Arial"/>
                <w:b/>
                <w:bCs/>
                <w:color w:val="2E7D32"/>
                <w:sz w:val="32"/>
                <w:szCs w:val="32"/>
              </w:rPr>
              <w:t xml:space="preserve">94.5%</w:t>
            </w:r>
          </w:p>
          <w:p>
            <w:pPr>
              <w:spacing w:after="60"/>
              <w:jc w:val="center"/>
            </w:pPr>
            <w:r>
              <w:rPr>
                <w:rFonts w:ascii="Arial" w:cs="Arial" w:eastAsia="Arial" w:hAnsi="Arial"/>
                <w:color w:val="455A64"/>
                <w:sz w:val="17"/>
                <w:szCs w:val="17"/>
              </w:rPr>
              <w:t xml:space="preserve">Recovered from
Peak by 2024</w:t>
            </w:r>
          </w:p>
        </w:tc>
        <w:tc>
          <w:tcPr>
            <w:tcW w:type="dxa" w:w="2340"/>
            <w:tcBorders>
              <w:top w:val="single" w:color="CCCCCC" w:sz="1"/>
              <w:left w:val="single" w:color="CCCCCC" w:sz="1"/>
              <w:bottom w:val="single" w:color="CCCCCC" w:sz="1"/>
              <w:right w:val="single" w:color="CCCCCC" w:sz="1"/>
            </w:tcBorders>
            <w:shd w:fill="E3F2FD" w:val="clear"/>
            <w:tcMar>
              <w:top w:type="dxa" w:w="120"/>
              <w:left w:type="dxa" w:w="140"/>
              <w:bottom w:type="dxa" w:w="120"/>
              <w:right w:type="dxa" w:w="140"/>
            </w:tcMar>
            <w:vAlign w:val="center"/>
          </w:tcPr>
          <w:p>
            <w:pPr>
              <w:spacing w:before="60"/>
              <w:jc w:val="center"/>
            </w:pPr>
            <w:r>
              <w:rPr>
                <w:rFonts w:ascii="Arial" w:cs="Arial" w:eastAsia="Arial" w:hAnsi="Arial"/>
                <w:b/>
                <w:bCs/>
                <w:color w:val="1565C0"/>
                <w:sz w:val="32"/>
                <w:szCs w:val="32"/>
              </w:rPr>
              <w:t xml:space="preserve">8.2%→61.4%</w:t>
            </w:r>
          </w:p>
          <w:p>
            <w:pPr>
              <w:spacing w:after="60"/>
              <w:jc w:val="center"/>
            </w:pPr>
            <w:r>
              <w:rPr>
                <w:rFonts w:ascii="Arial" w:cs="Arial" w:eastAsia="Arial" w:hAnsi="Arial"/>
                <w:color w:val="455A64"/>
                <w:sz w:val="17"/>
                <w:szCs w:val="17"/>
              </w:rPr>
              <w:t xml:space="preserve">Telehealth Adoption
2019 → 2024</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vAlign w:val="center"/>
          </w:tcPr>
          <w:p>
            <w:pPr>
              <w:spacing w:before="60"/>
              <w:jc w:val="center"/>
            </w:pPr>
            <w:r>
              <w:rPr>
                <w:rFonts w:ascii="Arial" w:cs="Arial" w:eastAsia="Arial" w:hAnsi="Arial"/>
                <w:b/>
                <w:bCs/>
                <w:color w:val="E65100"/>
                <w:sz w:val="32"/>
                <w:szCs w:val="32"/>
              </w:rPr>
              <w:t xml:space="preserve">−18pp</w:t>
            </w:r>
          </w:p>
          <w:p>
            <w:pPr>
              <w:spacing w:after="60"/>
              <w:jc w:val="center"/>
            </w:pPr>
            <w:r>
              <w:rPr>
                <w:rFonts w:ascii="Arial" w:cs="Arial" w:eastAsia="Arial" w:hAnsi="Arial"/>
                <w:color w:val="455A64"/>
                <w:sz w:val="17"/>
                <w:szCs w:val="17"/>
              </w:rPr>
              <w:t xml:space="preserve">Workforce Participation
Drop (2020 trough)</w:t>
            </w:r>
          </w:p>
        </w:tc>
      </w:tr>
    </w:tbl>
    <w:p>
      <w:pPr>
        <w:spacing w:after="120"/>
      </w:pPr>
      <w:r>
        <w:t xml:space="preserve"/>
      </w:r>
    </w:p>
    <w:p>
      <w:pPr>
        <w:spacing w:after="80" w:before="80"/>
        <w:jc w:val="center"/>
      </w:pPr>
      <w:r>
        <w:drawing>
          <wp:inline distT="0" distB="0" distL="0" distR="0">
            <wp:extent cx="11239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23950" cy="466725"/>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4: Post-COVID Recovery — Quarterly anxiety/depression indices, telehealth adoption, recovery heatmap, and workforce participation</w:t>
      </w:r>
    </w:p>
    <w:p>
      <w:pPr>
        <w:spacing w:after="60"/>
      </w:pPr>
      <w:r>
        <w:t xml:space="preserve"/>
      </w:r>
    </w:p>
    <w:p>
      <w:pPr>
        <w:pStyle w:val="Heading3"/>
        <w:spacing w:after="120" w:before="240"/>
      </w:pPr>
      <w:r>
        <w:rPr>
          <w:rFonts w:ascii="Arial" w:cs="Arial" w:eastAsia="Arial" w:hAnsi="Arial"/>
          <w:b/>
          <w:bCs/>
          <w:color w:val="0A2342"/>
          <w:sz w:val="24"/>
          <w:szCs w:val="24"/>
        </w:rPr>
        <w:t xml:space="preserve">Recovery &amp; Structural Change</w:t>
      </w:r>
    </w:p>
    <w:p>
      <w:pPr>
        <w:pStyle w:val="ListParagraph"/>
        <w:numPr>
          <w:ilvl w:val="0"/>
          <w:numId w:val="2"/>
        </w:numPr>
        <w:spacing w:after="80"/>
      </w:pPr>
      <w:r>
        <w:rPr>
          <w:rFonts w:ascii="Arial" w:cs="Arial" w:eastAsia="Arial" w:hAnsi="Arial"/>
          <w:color w:val="455A64"/>
          <w:sz w:val="20"/>
          <w:szCs w:val="20"/>
        </w:rPr>
        <w:t xml:space="preserve">While anxiety and depression indices have largely normalized (94.5% of COVID spike resolved by 2024), the level remains permanently elevated vs. the pre-2019 trend line by approximately 2 percentage points</w:t>
      </w:r>
    </w:p>
    <w:p>
      <w:pPr>
        <w:pStyle w:val="ListParagraph"/>
        <w:numPr>
          <w:ilvl w:val="0"/>
          <w:numId w:val="2"/>
        </w:numPr>
        <w:spacing w:after="80"/>
      </w:pPr>
      <w:r>
        <w:rPr>
          <w:rFonts w:ascii="Arial" w:cs="Arial" w:eastAsia="Arial" w:hAnsi="Arial"/>
          <w:color w:val="455A64"/>
          <w:sz w:val="20"/>
          <w:szCs w:val="20"/>
        </w:rPr>
        <w:t xml:space="preserve">Telehealth adoption has permanently reset at a new higher baseline — Q1 2019: 8.2% vs. Q4 2024: 61.4%, representing a structural transformation in care delivery</w:t>
      </w:r>
    </w:p>
    <w:p>
      <w:pPr>
        <w:pStyle w:val="ListParagraph"/>
        <w:numPr>
          <w:ilvl w:val="0"/>
          <w:numId w:val="2"/>
        </w:numPr>
        <w:spacing w:after="80"/>
      </w:pPr>
      <w:r>
        <w:rPr>
          <w:rFonts w:ascii="Arial" w:cs="Arial" w:eastAsia="Arial" w:hAnsi="Arial"/>
          <w:color w:val="455A64"/>
          <w:sz w:val="20"/>
          <w:szCs w:val="20"/>
        </w:rPr>
        <w:t xml:space="preserve">Workforce participation recovery has been near-complete (+96% of the 2020 trough recovered) but the recovery has been uneven, with lower-income countries recovering more slowly</w:t>
      </w:r>
    </w:p>
    <w:p>
      <w:pPr>
        <w:pStyle w:val="ListParagraph"/>
        <w:numPr>
          <w:ilvl w:val="0"/>
          <w:numId w:val="2"/>
        </w:numPr>
        <w:spacing w:after="80"/>
      </w:pPr>
      <w:r>
        <w:rPr>
          <w:rFonts w:ascii="Arial" w:cs="Arial" w:eastAsia="Arial" w:hAnsi="Arial"/>
          <w:color w:val="455A64"/>
          <w:sz w:val="20"/>
          <w:szCs w:val="20"/>
        </w:rPr>
        <w:t xml:space="preserve">Service utilization for MH care dipped sharply in 2020 (−25% vs 2019) as physical services closed, then surpassed baseline in 2022 as telehealth channels absorbed demand</w:t>
      </w:r>
    </w:p>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Economic Impact &amp; Predictive Modeling</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Global Economic Burden</w:t>
      </w:r>
    </w:p>
    <w:p>
      <w:pPr>
        <w:spacing w:after="120" w:before="0"/>
        <w:jc w:val="left"/>
      </w:pPr>
      <w:r>
        <w:rPr>
          <w:rFonts w:ascii="Arial" w:cs="Arial" w:eastAsia="Arial" w:hAnsi="Arial"/>
          <w:color w:val="455A64"/>
          <w:sz w:val="20"/>
          <w:szCs w:val="20"/>
        </w:rPr>
        <w:t xml:space="preserve">Mental ill-health represents the world's largest and most underappreciated productivity crisis. Unlike most health conditions, MH disorders disproportionately affect prime working-age adults and persist for years or decades without treatment, compounding their economic toll.</w:t>
      </w:r>
    </w:p>
    <w:p>
      <w:pPr>
        <w:spacing w:after="60"/>
      </w:pPr>
      <w:r>
        <w:t xml:space="preserve"/>
      </w:r>
    </w:p>
    <w:p>
      <w:pPr>
        <w:spacing w:after="80" w:before="80"/>
        <w:jc w:val="center"/>
      </w:pPr>
      <w:r>
        <w:drawing>
          <wp:inline distT="0" distB="0" distL="0" distR="0">
            <wp:extent cx="11239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495300"/>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5: Economic Impact &amp; ML Insights — Cost trend with forecast, burden breakdown, feature importance, investment scenarios, and sector cost estimates</w:t>
      </w:r>
    </w:p>
    <w:p>
      <w:pPr>
        <w:spacing w:after="60"/>
      </w:pPr>
      <w:r>
        <w:t xml:space="preserve"/>
      </w:r>
    </w:p>
    <w:p>
      <w:pPr>
        <w:pStyle w:val="Heading3"/>
        <w:spacing w:after="120" w:before="240"/>
      </w:pPr>
      <w:r>
        <w:rPr>
          <w:rFonts w:ascii="Arial" w:cs="Arial" w:eastAsia="Arial" w:hAnsi="Arial"/>
          <w:b/>
          <w:bCs/>
          <w:color w:val="0A2342"/>
          <w:sz w:val="24"/>
          <w:szCs w:val="24"/>
        </w:rPr>
        <w:t xml:space="preserve">Machine Learning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R²</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R²</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 R² (5-fold)</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MAE</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Linear Regression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0.412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0.409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0.408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11.23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Underfit — linear relationships only</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Random Forest</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0.924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0.632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0.624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8.71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Good — some overfitting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Gradient Boosting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0.883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0.649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0.642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8.49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Best — balanced fit</w:t>
            </w:r>
          </w:p>
        </w:tc>
      </w:tr>
    </w:tbl>
    <w:p>
      <w:pPr>
        <w:spacing w:after="120"/>
      </w:pPr>
      <w:r>
        <w:t xml:space="preserve"/>
      </w:r>
    </w:p>
    <w:p>
      <w:pPr>
        <w:pStyle w:val="Heading3"/>
        <w:spacing w:after="120" w:before="240"/>
      </w:pPr>
      <w:r>
        <w:rPr>
          <w:rFonts w:ascii="Arial" w:cs="Arial" w:eastAsia="Arial" w:hAnsi="Arial"/>
          <w:b/>
          <w:bCs/>
          <w:color w:val="0A2342"/>
          <w:sz w:val="24"/>
          <w:szCs w:val="24"/>
        </w:rPr>
        <w:t xml:space="preserve">Feature Importance — What Drives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Importance %</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Implication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Employee Wellbeing Score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Primary lever — wellbeing programs have highest ROI</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2</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Burnout Risk Score</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26.1%</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Prevention &gt; treatment — early intervention critical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Presenteeism Score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15.3%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Hidden cost often excluded from productivity calculations</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4</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Absenteeism Days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10.2%</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Measurable, trackable — visible to HR systems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Weekly Work Hours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6.1%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Hours &gt; 50/wk non-linear relationship with output</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6</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Salary Satisfaction</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5.2%</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Necessary but not sufficient — hygiene factor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MH Support Access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Modifiable policy lever with rapid impact</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8</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Remote Work %</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1.4%</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Design matters more than level</w:t>
            </w:r>
          </w:p>
        </w:tc>
      </w:tr>
    </w:tbl>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Global Country Comparison — 2024 Snapshot</w:t>
      </w:r>
    </w:p>
    <w:p>
      <w:pPr>
        <w:pBdr>
          <w:bottom w:val="single" w:color="0A2342" w:sz="6" w:space="1"/>
        </w:pBdr>
        <w:spacing w:after="80" w:before="80"/>
      </w:pPr>
      <w:r>
        <w:t xml:space="preserve"/>
      </w:r>
    </w:p>
    <w:p>
      <w:pPr>
        <w:spacing w:after="60"/>
      </w:pPr>
      <w:r>
        <w:t xml:space="preserve"/>
      </w:r>
    </w:p>
    <w:p>
      <w:pPr>
        <w:spacing w:after="80" w:before="80"/>
        <w:jc w:val="center"/>
      </w:pPr>
      <w:r>
        <w:drawing>
          <wp:inline distT="0" distB="0" distL="0" distR="0">
            <wp:extent cx="11239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23950" cy="409575"/>
                    </a:xfrm>
                    <a:prstGeom prst="rect">
                      <a:avLst/>
                    </a:prstGeom>
                  </pic:spPr>
                </pic:pic>
              </a:graphicData>
            </a:graphic>
          </wp:inline>
        </w:drawing>
      </w:r>
    </w:p>
    <w:p>
      <w:pPr>
        <w:spacing w:after="160"/>
        <w:jc w:val="center"/>
      </w:pPr>
      <w:r>
        <w:rPr>
          <w:rFonts w:ascii="Arial" w:cs="Arial" w:eastAsia="Arial" w:hAnsi="Arial"/>
          <w:i/>
          <w:iCs/>
          <w:color w:val="455A64"/>
          <w:sz w:val="17"/>
          <w:szCs w:val="17"/>
        </w:rPr>
        <w:t xml:space="preserve">Figure 6: Global Country Comparison — MH workforce vs. prevalence bubble chart, top-10 performing countries, and investment vs. economic burden</w:t>
      </w:r>
    </w:p>
    <w:p>
      <w:pPr>
        <w:spacing w:after="60"/>
      </w:pPr>
      <w:r>
        <w:t xml:space="preserve"/>
      </w:r>
    </w:p>
    <w:p>
      <w:pPr>
        <w:pStyle w:val="Heading2"/>
        <w:spacing w:after="160" w:before="320"/>
      </w:pPr>
      <w:r>
        <w:rPr>
          <w:rFonts w:ascii="Arial" w:cs="Arial" w:eastAsia="Arial" w:hAnsi="Arial"/>
          <w:b/>
          <w:bCs/>
          <w:color w:val="0A2342"/>
          <w:sz w:val="28"/>
          <w:szCs w:val="28"/>
        </w:rPr>
        <w:t xml:space="preserve">Top 10 Performing Countries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Country</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Treatment Gap</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MH Prof/100k</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Prevalence</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Switzerland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24.1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Norway</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19%</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21.8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12.8%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Sweden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19.4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Netherlands</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23%</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17.2</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14.1%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Germany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6</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Australia</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14.1</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18.3%</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Oceania</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Canada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12.9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17.4%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North America</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United Kingdom</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34%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11.4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18.5%</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Europe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Japan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10.8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7.9%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Asia</w:t>
            </w:r>
          </w:p>
        </w:tc>
      </w:tr>
      <w:tr>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10</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Singapore</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38%</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13.4%</w:t>
            </w:r>
          </w:p>
        </w:tc>
        <w:tc>
          <w:tcPr>
            <w:tcW w:type="dxa" w:w="1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Asia</w:t>
            </w:r>
          </w:p>
        </w:tc>
      </w:tr>
    </w:tbl>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Strategic Recommendations</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For Governments &amp; Policymakers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 Base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Impact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P1 — Critical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Increase MH budget to minimum 10% of health expenditure (from avg 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ROI analysis: $4 return per $1 invested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30-40% reduction in treatment gap within 5 years</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P1 — Critical</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National MH workforce expansion: train 3x more psychiatrists, psychologists, counsellors</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1.2M global shortfall quantified in DS1</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Reduce treatment gap by 20pp in under-served regions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P2 — 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Mandate employer MH reporting in ESG/HR frameworks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Absenteeism data: $8,500/employee/year hidden cost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Accountability drives investment decisions</w:t>
            </w:r>
          </w:p>
        </w:tc>
      </w:tr>
      <w:tr>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P2 — High</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Standardize telehealth MH reimbursement globally</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7.5x adoption proven sustainable post-COVID</w:t>
            </w:r>
          </w:p>
        </w:tc>
        <w:tc>
          <w:tcPr>
            <w:tcW w:type="dxa" w:w="234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Lock in access gains for rural/low-income populations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P3 — 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Create cross-border data standards for MH tracking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Current gap: no global standardized prevalence measure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Enables evidence-based international comparison</w:t>
            </w:r>
          </w:p>
        </w:tc>
      </w:tr>
    </w:tbl>
    <w:p>
      <w:pPr>
        <w:spacing w:after="120"/>
      </w:pPr>
      <w:r>
        <w:t xml:space="preserve"/>
      </w:r>
    </w:p>
    <w:p>
      <w:pPr>
        <w:pStyle w:val="Heading2"/>
        <w:spacing w:after="160" w:before="320"/>
      </w:pPr>
      <w:r>
        <w:rPr>
          <w:rFonts w:ascii="Arial" w:cs="Arial" w:eastAsia="Arial" w:hAnsi="Arial"/>
          <w:b/>
          <w:bCs/>
          <w:color w:val="0A2342"/>
          <w:sz w:val="28"/>
          <w:szCs w:val="28"/>
        </w:rPr>
        <w:t xml:space="preserve">For Organisations &amp; Employers</w:t>
      </w:r>
    </w:p>
    <w:p>
      <w:pPr>
        <w:pStyle w:val="ListParagraph"/>
        <w:numPr>
          <w:ilvl w:val="0"/>
          <w:numId w:val="2"/>
        </w:numPr>
        <w:spacing w:after="80"/>
      </w:pPr>
      <w:r>
        <w:rPr>
          <w:rFonts w:ascii="Arial" w:cs="Arial" w:eastAsia="Arial" w:hAnsi="Arial"/>
          <w:color w:val="455A64"/>
          <w:sz w:val="20"/>
          <w:szCs w:val="20"/>
        </w:rPr>
        <w:t xml:space="preserve">Implement quarterly wellbeing surveys — early detection of burnout reduces intervention cost by 40% vs. reactive treatment programs</w:t>
      </w:r>
    </w:p>
    <w:p>
      <w:pPr>
        <w:pStyle w:val="ListParagraph"/>
        <w:numPr>
          <w:ilvl w:val="0"/>
          <w:numId w:val="2"/>
        </w:numPr>
        <w:spacing w:after="80"/>
      </w:pPr>
      <w:r>
        <w:rPr>
          <w:rFonts w:ascii="Arial" w:cs="Arial" w:eastAsia="Arial" w:hAnsi="Arial"/>
          <w:color w:val="455A64"/>
          <w:sz w:val="20"/>
          <w:szCs w:val="20"/>
        </w:rPr>
        <w:t xml:space="preserve">Design hybrid work policies at 30–50% remote for optimal wellbeing and productivity; avoid purely on-site or fully remote mandates</w:t>
      </w:r>
    </w:p>
    <w:p>
      <w:pPr>
        <w:pStyle w:val="ListParagraph"/>
        <w:numPr>
          <w:ilvl w:val="0"/>
          <w:numId w:val="2"/>
        </w:numPr>
        <w:spacing w:after="80"/>
      </w:pPr>
      <w:r>
        <w:rPr>
          <w:rFonts w:ascii="Arial" w:cs="Arial" w:eastAsia="Arial" w:hAnsi="Arial"/>
          <w:color w:val="455A64"/>
          <w:sz w:val="20"/>
          <w:szCs w:val="20"/>
        </w:rPr>
        <w:t xml:space="preserve">Prioritize Mental Health support access for diagnosed employees — data shows support access nearly eliminates the absenteeism gap vs. non-diagnosed peers</w:t>
      </w:r>
    </w:p>
    <w:p>
      <w:pPr>
        <w:pStyle w:val="ListParagraph"/>
        <w:numPr>
          <w:ilvl w:val="0"/>
          <w:numId w:val="2"/>
        </w:numPr>
        <w:spacing w:after="80"/>
      </w:pPr>
      <w:r>
        <w:rPr>
          <w:rFonts w:ascii="Arial" w:cs="Arial" w:eastAsia="Arial" w:hAnsi="Arial"/>
          <w:color w:val="455A64"/>
          <w:sz w:val="20"/>
          <w:szCs w:val="20"/>
        </w:rPr>
        <w:t xml:space="preserve">Healthcare, Finance, and Technology sectors require sector-specific burnout intervention programs given systematically elevated burnout scores (&gt;6.2/10)</w:t>
      </w:r>
    </w:p>
    <w:p>
      <w:pPr>
        <w:pStyle w:val="ListParagraph"/>
        <w:numPr>
          <w:ilvl w:val="0"/>
          <w:numId w:val="2"/>
        </w:numPr>
        <w:spacing w:after="80"/>
      </w:pPr>
      <w:r>
        <w:rPr>
          <w:rFonts w:ascii="Arial" w:cs="Arial" w:eastAsia="Arial" w:hAnsi="Arial"/>
          <w:color w:val="455A64"/>
          <w:sz w:val="20"/>
          <w:szCs w:val="20"/>
        </w:rPr>
        <w:t xml:space="preserve">Integrate presenteeism measurement into productivity frameworks — it represents 15% of the productivity variance yet is absent from most HR dashboards</w:t>
      </w:r>
    </w:p>
    <w:p>
      <w:pPr>
        <w:pStyle w:val="ListParagraph"/>
        <w:numPr>
          <w:ilvl w:val="0"/>
          <w:numId w:val="2"/>
        </w:numPr>
        <w:spacing w:after="80"/>
      </w:pPr>
      <w:r>
        <w:rPr>
          <w:rFonts w:ascii="Arial" w:cs="Arial" w:eastAsia="Arial" w:hAnsi="Arial"/>
          <w:color w:val="455A64"/>
          <w:sz w:val="20"/>
          <w:szCs w:val="20"/>
        </w:rPr>
        <w:t xml:space="preserve">Set a target of &lt; 8 absenteeism days/employee/year and &lt; 5.5 burnout score as sector benchmarks for healthy organizations</w:t>
      </w:r>
    </w:p>
    <w:p>
      <w:pPr>
        <w:spacing w:after="120"/>
      </w:pPr>
      <w:r>
        <w:t xml:space="preserve"/>
      </w:r>
    </w:p>
    <w:p>
      <w:pPr>
        <w:pStyle w:val="Heading2"/>
        <w:spacing w:after="160" w:before="320"/>
      </w:pPr>
      <w:r>
        <w:rPr>
          <w:rFonts w:ascii="Arial" w:cs="Arial" w:eastAsia="Arial" w:hAnsi="Arial"/>
          <w:b/>
          <w:bCs/>
          <w:color w:val="0A2342"/>
          <w:sz w:val="28"/>
          <w:szCs w:val="28"/>
        </w:rPr>
        <w:t xml:space="preserve">For Investors &amp; Healthcare Innovators</w:t>
      </w:r>
    </w:p>
    <w:p>
      <w:pPr>
        <w:pStyle w:val="ListParagraph"/>
        <w:numPr>
          <w:ilvl w:val="0"/>
          <w:numId w:val="2"/>
        </w:numPr>
        <w:spacing w:after="80"/>
      </w:pPr>
      <w:r>
        <w:rPr>
          <w:rFonts w:ascii="Arial" w:cs="Arial" w:eastAsia="Arial" w:hAnsi="Arial"/>
          <w:color w:val="455A64"/>
          <w:sz w:val="20"/>
          <w:szCs w:val="20"/>
        </w:rPr>
        <w:t xml:space="preserve">Telehealth MH platforms represent the highest-growth MH infrastructure category: 7.5x growth, ~60% global adoption, and structural permanence post-COVID</w:t>
      </w:r>
    </w:p>
    <w:p>
      <w:pPr>
        <w:pStyle w:val="ListParagraph"/>
        <w:numPr>
          <w:ilvl w:val="0"/>
          <w:numId w:val="2"/>
        </w:numPr>
        <w:spacing w:after="80"/>
      </w:pPr>
      <w:r>
        <w:rPr>
          <w:rFonts w:ascii="Arial" w:cs="Arial" w:eastAsia="Arial" w:hAnsi="Arial"/>
          <w:color w:val="455A64"/>
          <w:sz w:val="20"/>
          <w:szCs w:val="20"/>
        </w:rPr>
        <w:t xml:space="preserve">Employers offering EAP (Employee Assistance Programs) show measurable productivity uplift — B2B MH SaaS is the fastest growing segment in enterprise HR tech</w:t>
      </w:r>
    </w:p>
    <w:p>
      <w:pPr>
        <w:pStyle w:val="ListParagraph"/>
        <w:numPr>
          <w:ilvl w:val="0"/>
          <w:numId w:val="2"/>
        </w:numPr>
        <w:spacing w:after="80"/>
      </w:pPr>
      <w:r>
        <w:rPr>
          <w:rFonts w:ascii="Arial" w:cs="Arial" w:eastAsia="Arial" w:hAnsi="Arial"/>
          <w:color w:val="455A64"/>
          <w:sz w:val="20"/>
          <w:szCs w:val="20"/>
        </w:rPr>
        <w:t xml:space="preserve">Prevention-focused interventions (wellbeing platforms, mindfulness, digital CBT) deliver highest ROI vs. acute treatment when deployed at population scale</w:t>
      </w:r>
    </w:p>
    <w:p>
      <w:pPr>
        <w:pStyle w:val="ListParagraph"/>
        <w:numPr>
          <w:ilvl w:val="0"/>
          <w:numId w:val="2"/>
        </w:numPr>
        <w:spacing w:after="80"/>
      </w:pPr>
      <w:r>
        <w:rPr>
          <w:rFonts w:ascii="Arial" w:cs="Arial" w:eastAsia="Arial" w:hAnsi="Arial"/>
          <w:color w:val="455A64"/>
          <w:sz w:val="20"/>
          <w:szCs w:val="20"/>
        </w:rPr>
        <w:t xml:space="preserve">Countries with GDP $10,000–$30,000 (upper-middle income) represent the highest-growth market for MH services — treatment gap is large but purchasing power is emerging</w:t>
      </w:r>
    </w:p>
    <w:p>
      <w:pPr>
        <w:spacing w:after="60"/>
      </w:pPr>
      <w:r>
        <w:t xml:space="preserve"/>
      </w:r>
    </w:p>
    <w:p>
      <w:r>
        <w:br w:type="page"/>
      </w:r>
    </w:p>
    <w:p>
      <w:pPr>
        <w:pStyle w:val="Heading1"/>
        <w:spacing w:after="200" w:before="480"/>
      </w:pPr>
      <w:r>
        <w:rPr>
          <w:rFonts w:ascii="Arial" w:cs="Arial" w:eastAsia="Arial" w:hAnsi="Arial"/>
          <w:b/>
          <w:bCs/>
          <w:color w:val="0A2342"/>
          <w:sz w:val="36"/>
          <w:szCs w:val="36"/>
        </w:rPr>
        <w:t xml:space="preserve">Technical Appendix</w:t>
      </w:r>
    </w:p>
    <w:p>
      <w:pPr>
        <w:pBdr>
          <w:bottom w:val="single" w:color="0A2342" w:sz="6" w:space="1"/>
        </w:pBdr>
        <w:spacing w:after="80" w:before="80"/>
      </w:pPr>
      <w:r>
        <w:t xml:space="preserve"/>
      </w:r>
    </w:p>
    <w:p>
      <w:pPr>
        <w:spacing w:after="60"/>
      </w:pPr>
      <w:r>
        <w:t xml:space="preserve"/>
      </w:r>
    </w:p>
    <w:p>
      <w:pPr>
        <w:pStyle w:val="Heading2"/>
        <w:spacing w:after="160" w:before="320"/>
      </w:pPr>
      <w:r>
        <w:rPr>
          <w:rFonts w:ascii="Arial" w:cs="Arial" w:eastAsia="Arial" w:hAnsi="Arial"/>
          <w:b/>
          <w:bCs/>
          <w:color w:val="0A2342"/>
          <w:sz w:val="28"/>
          <w:szCs w:val="28"/>
        </w:rPr>
        <w:t xml:space="preserve">A. Data Generation Methodology</w:t>
      </w:r>
    </w:p>
    <w:p>
      <w:pPr>
        <w:spacing w:after="120" w:before="0"/>
        <w:jc w:val="left"/>
      </w:pPr>
      <w:r>
        <w:rPr>
          <w:rFonts w:ascii="Arial" w:cs="Arial" w:eastAsia="Arial" w:hAnsi="Arial"/>
          <w:color w:val="455A64"/>
          <w:sz w:val="20"/>
          <w:szCs w:val="20"/>
        </w:rPr>
        <w:t xml:space="preserve">All four datasets were generated synthetically using calibrated statistical models designed to replicate real-world distributions observed in published literature from WHO, OECD, Lancet Psychiatry, and McKinsey Global Institute. Key design principles:</w:t>
      </w:r>
    </w:p>
    <w:p>
      <w:pPr>
        <w:pStyle w:val="ListParagraph"/>
        <w:numPr>
          <w:ilvl w:val="0"/>
          <w:numId w:val="2"/>
        </w:numPr>
        <w:spacing w:after="80"/>
      </w:pPr>
      <w:r>
        <w:rPr>
          <w:rFonts w:ascii="Arial" w:cs="Arial" w:eastAsia="Arial" w:hAnsi="Arial"/>
          <w:color w:val="455A64"/>
          <w:sz w:val="20"/>
          <w:szCs w:val="20"/>
        </w:rPr>
        <w:t xml:space="preserve">Country-level indicators were seeded from published GDP per capita, healthcare spend, and MH prevalence baseline values for each country</w:t>
      </w:r>
    </w:p>
    <w:p>
      <w:pPr>
        <w:pStyle w:val="ListParagraph"/>
        <w:numPr>
          <w:ilvl w:val="0"/>
          <w:numId w:val="2"/>
        </w:numPr>
        <w:spacing w:after="80"/>
      </w:pPr>
      <w:r>
        <w:rPr>
          <w:rFonts w:ascii="Arial" w:cs="Arial" w:eastAsia="Arial" w:hAnsi="Arial"/>
          <w:color w:val="455A64"/>
          <w:sz w:val="20"/>
          <w:szCs w:val="20"/>
        </w:rPr>
        <w:t xml:space="preserve">COVID-19 effects were modeled using quarter-specific multipliers calibrated against WHO and Lancet COVID mental health research (anxiety +32%, depression +28% peak)</w:t>
      </w:r>
    </w:p>
    <w:p>
      <w:pPr>
        <w:pStyle w:val="ListParagraph"/>
        <w:numPr>
          <w:ilvl w:val="0"/>
          <w:numId w:val="2"/>
        </w:numPr>
        <w:spacing w:after="80"/>
      </w:pPr>
      <w:r>
        <w:rPr>
          <w:rFonts w:ascii="Arial" w:cs="Arial" w:eastAsia="Arial" w:hAnsi="Arial"/>
          <w:color w:val="455A64"/>
          <w:sz w:val="20"/>
          <w:szCs w:val="20"/>
        </w:rPr>
        <w:t xml:space="preserve">Workforce variables were generated with realistic inter-variable correlations (wellbeing-productivity: r≈0.6; burnout-absenteeism: r≈0.5)</w:t>
      </w:r>
    </w:p>
    <w:p>
      <w:pPr>
        <w:pStyle w:val="ListParagraph"/>
        <w:numPr>
          <w:ilvl w:val="0"/>
          <w:numId w:val="2"/>
        </w:numPr>
        <w:spacing w:after="80"/>
      </w:pPr>
      <w:r>
        <w:rPr>
          <w:rFonts w:ascii="Arial" w:cs="Arial" w:eastAsia="Arial" w:hAnsi="Arial"/>
          <w:color w:val="455A64"/>
          <w:sz w:val="20"/>
          <w:szCs w:val="20"/>
        </w:rPr>
        <w:t xml:space="preserve">Random noise was added at appropriate scales to prevent artificially clean patterns while preserving valid analytical signals</w:t>
      </w:r>
    </w:p>
    <w:p>
      <w:pPr>
        <w:spacing w:after="60"/>
      </w:pPr>
      <w:r>
        <w:t xml:space="preserve"/>
      </w:r>
    </w:p>
    <w:p>
      <w:pPr>
        <w:pStyle w:val="Heading2"/>
        <w:spacing w:after="160" w:before="320"/>
      </w:pPr>
      <w:r>
        <w:rPr>
          <w:rFonts w:ascii="Arial" w:cs="Arial" w:eastAsia="Arial" w:hAnsi="Arial"/>
          <w:b/>
          <w:bCs/>
          <w:color w:val="0A2342"/>
          <w:sz w:val="28"/>
          <w:szCs w:val="28"/>
        </w:rPr>
        <w:t xml:space="preserve">B. Statistical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Analysis</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Sample Size</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Statistic</w:t>
            </w:r>
          </w:p>
        </w:tc>
        <w:tc>
          <w:tcPr>
            <w:tcW w:type="dxa" w:w="18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GDP vs Treatment Gap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Pearson Correlation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30 countries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r = −0.821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r>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Wellbeing vs Productivity</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Pearson Correlation</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8,500 employees</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r = +0.614</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Burnout vs Productivity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Pearson Correlation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8,500 employees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r = −0.532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r>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Sector Burnout Differences</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ANOVA</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8,500 employees</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F = 142.3</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55A64"/>
                <w:sz w:val="18"/>
                <w:szCs w:val="18"/>
              </w:rPr>
              <w:t xml:space="preserve">ML Productivity Model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5-fold CV R²</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8,500 (train+test)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R² = 0.642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r>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left"/>
            </w:pPr>
            <w:r>
              <w:rPr>
                <w:rFonts w:ascii="Arial" w:cs="Arial" w:eastAsia="Arial" w:hAnsi="Arial"/>
                <w:color w:val="455A64"/>
                <w:sz w:val="18"/>
                <w:szCs w:val="18"/>
              </w:rPr>
              <w:t xml:space="preserve">COVID Anxiety Spike</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Index vs baseline</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20 countries (Q1-Q4 2020)</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+32.5 points</w:t>
            </w:r>
          </w:p>
        </w:tc>
        <w:tc>
          <w:tcPr>
            <w:tcW w:type="dxa" w:w="1872"/>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pPr>
              <w:jc w:val="center"/>
            </w:pPr>
            <w:r>
              <w:rPr>
                <w:rFonts w:ascii="Arial" w:cs="Arial" w:eastAsia="Arial" w:hAnsi="Arial"/>
                <w:color w:val="455A64"/>
                <w:sz w:val="18"/>
                <w:szCs w:val="18"/>
              </w:rPr>
              <w:t xml:space="preserve">&lt; 0.001</w:t>
            </w:r>
          </w:p>
        </w:tc>
      </w:tr>
    </w:tbl>
    <w:p>
      <w:pPr>
        <w:spacing w:after="120"/>
      </w:pPr>
      <w:r>
        <w:t xml:space="preserve"/>
      </w:r>
    </w:p>
    <w:p>
      <w:pPr>
        <w:pStyle w:val="Heading2"/>
        <w:spacing w:after="160" w:before="320"/>
      </w:pPr>
      <w:r>
        <w:rPr>
          <w:rFonts w:ascii="Arial" w:cs="Arial" w:eastAsia="Arial" w:hAnsi="Arial"/>
          <w:b/>
          <w:bCs/>
          <w:color w:val="0A2342"/>
          <w:sz w:val="28"/>
          <w:szCs w:val="28"/>
        </w:rPr>
        <w:t xml:space="preserve">C. Data Sources &amp; References</w:t>
      </w:r>
    </w:p>
    <w:p>
      <w:pPr>
        <w:pStyle w:val="ListParagraph"/>
        <w:numPr>
          <w:ilvl w:val="0"/>
          <w:numId w:val="2"/>
        </w:numPr>
        <w:spacing w:after="80"/>
      </w:pPr>
      <w:r>
        <w:rPr>
          <w:rFonts w:ascii="Arial" w:cs="Arial" w:eastAsia="Arial" w:hAnsi="Arial"/>
          <w:color w:val="455A64"/>
          <w:sz w:val="20"/>
          <w:szCs w:val="20"/>
        </w:rPr>
        <w:t xml:space="preserve">World Health Organization (WHO) — World Mental Health Report 2022; Mental Health Atlas 2020</w:t>
      </w:r>
    </w:p>
    <w:p>
      <w:pPr>
        <w:pStyle w:val="ListParagraph"/>
        <w:numPr>
          <w:ilvl w:val="0"/>
          <w:numId w:val="2"/>
        </w:numPr>
        <w:spacing w:after="80"/>
      </w:pPr>
      <w:r>
        <w:rPr>
          <w:rFonts w:ascii="Arial" w:cs="Arial" w:eastAsia="Arial" w:hAnsi="Arial"/>
          <w:color w:val="455A64"/>
          <w:sz w:val="20"/>
          <w:szCs w:val="20"/>
        </w:rPr>
        <w:t xml:space="preserve">OECD — Mental Health and Work series; Health at a Glance 2023</w:t>
      </w:r>
    </w:p>
    <w:p>
      <w:pPr>
        <w:pStyle w:val="ListParagraph"/>
        <w:numPr>
          <w:ilvl w:val="0"/>
          <w:numId w:val="2"/>
        </w:numPr>
        <w:spacing w:after="80"/>
      </w:pPr>
      <w:r>
        <w:rPr>
          <w:rFonts w:ascii="Arial" w:cs="Arial" w:eastAsia="Arial" w:hAnsi="Arial"/>
          <w:color w:val="455A64"/>
          <w:sz w:val="20"/>
          <w:szCs w:val="20"/>
        </w:rPr>
        <w:t xml:space="preserve">Lancet Psychiatry — 'Global prevalence and burden of depressive and anxiety disorders in 2020' (Santomauro et al., 2021)</w:t>
      </w:r>
    </w:p>
    <w:p>
      <w:pPr>
        <w:pStyle w:val="ListParagraph"/>
        <w:numPr>
          <w:ilvl w:val="0"/>
          <w:numId w:val="2"/>
        </w:numPr>
        <w:spacing w:after="80"/>
      </w:pPr>
      <w:r>
        <w:rPr>
          <w:rFonts w:ascii="Arial" w:cs="Arial" w:eastAsia="Arial" w:hAnsi="Arial"/>
          <w:color w:val="455A64"/>
          <w:sz w:val="20"/>
          <w:szCs w:val="20"/>
        </w:rPr>
        <w:t xml:space="preserve">McKinsey Global Institute — 'Addressing employee burnout: Are companies making the right investments?' (2022)</w:t>
      </w:r>
    </w:p>
    <w:p>
      <w:pPr>
        <w:pStyle w:val="ListParagraph"/>
        <w:numPr>
          <w:ilvl w:val="0"/>
          <w:numId w:val="2"/>
        </w:numPr>
        <w:spacing w:after="80"/>
      </w:pPr>
      <w:r>
        <w:rPr>
          <w:rFonts w:ascii="Arial" w:cs="Arial" w:eastAsia="Arial" w:hAnsi="Arial"/>
          <w:color w:val="455A64"/>
          <w:sz w:val="20"/>
          <w:szCs w:val="20"/>
        </w:rPr>
        <w:t xml:space="preserve">Harvard Business Review — 'The cost of employee burnout' (Wigert &amp; Agrawal, 2022)</w:t>
      </w:r>
    </w:p>
    <w:p>
      <w:pPr>
        <w:pStyle w:val="ListParagraph"/>
        <w:numPr>
          <w:ilvl w:val="0"/>
          <w:numId w:val="2"/>
        </w:numPr>
        <w:spacing w:after="80"/>
      </w:pPr>
      <w:r>
        <w:rPr>
          <w:rFonts w:ascii="Arial" w:cs="Arial" w:eastAsia="Arial" w:hAnsi="Arial"/>
          <w:color w:val="455A64"/>
          <w:sz w:val="20"/>
          <w:szCs w:val="20"/>
        </w:rPr>
        <w:t xml:space="preserve">Our World in Data — Mental health statistics (ourworldindata.org/mental-health)</w:t>
      </w:r>
    </w:p>
    <w:p>
      <w:pPr>
        <w:pStyle w:val="ListParagraph"/>
        <w:numPr>
          <w:ilvl w:val="0"/>
          <w:numId w:val="2"/>
        </w:numPr>
        <w:spacing w:after="80"/>
      </w:pPr>
      <w:r>
        <w:rPr>
          <w:rFonts w:ascii="Arial" w:cs="Arial" w:eastAsia="Arial" w:hAnsi="Arial"/>
          <w:color w:val="455A64"/>
          <w:sz w:val="20"/>
          <w:szCs w:val="20"/>
        </w:rPr>
        <w:t xml:space="preserve">National Institute of Mental Health (NIMH) — US statistics and workforce data</w:t>
      </w:r>
    </w:p>
    <w:p>
      <w:pPr>
        <w:pStyle w:val="ListParagraph"/>
        <w:numPr>
          <w:ilvl w:val="0"/>
          <w:numId w:val="2"/>
        </w:numPr>
        <w:spacing w:after="80"/>
      </w:pPr>
      <w:r>
        <w:rPr>
          <w:rFonts w:ascii="Arial" w:cs="Arial" w:eastAsia="Arial" w:hAnsi="Arial"/>
          <w:color w:val="455A64"/>
          <w:sz w:val="20"/>
          <w:szCs w:val="20"/>
        </w:rPr>
        <w:t xml:space="preserve">Global Burden of Disease Study 2019 — Mental disorder prevalence and YLD estimates</w:t>
      </w:r>
    </w:p>
    <w:p>
      <w:pPr>
        <w:spacing w:after="120"/>
      </w:pPr>
      <w:r>
        <w:t xml:space="preserve"/>
      </w:r>
    </w:p>
    <w:p>
      <w:pPr>
        <w:pStyle w:val="Heading2"/>
        <w:spacing w:after="160" w:before="320"/>
      </w:pPr>
      <w:r>
        <w:rPr>
          <w:rFonts w:ascii="Arial" w:cs="Arial" w:eastAsia="Arial" w:hAnsi="Arial"/>
          <w:b/>
          <w:bCs/>
          <w:color w:val="0A2342"/>
          <w:sz w:val="28"/>
          <w:szCs w:val="28"/>
        </w:rPr>
        <w:t xml:space="preserve">D. Reproducibility</w:t>
      </w:r>
    </w:p>
    <w:p>
      <w:pPr>
        <w:spacing w:after="120" w:before="0"/>
        <w:jc w:val="left"/>
      </w:pPr>
      <w:r>
        <w:rPr>
          <w:rFonts w:ascii="Arial" w:cs="Arial" w:eastAsia="Arial" w:hAnsi="Arial"/>
          <w:color w:val="455A64"/>
          <w:sz w:val="20"/>
          <w:szCs w:val="20"/>
        </w:rPr>
        <w:t xml:space="preserve">All analysis is fully reproducible from the provided Jupyter Notebook (Global_MH_Analysis.ipynb) and dataset files. Random seeds are fixed (np.random.seed(2024)) for consistent output across runs. Python package requirements:</w:t>
      </w:r>
    </w:p>
    <w:p>
      <w:pPr>
        <w:spacing w:after="60"/>
      </w:pPr>
      <w:r>
        <w:t xml:space="preserve"/>
      </w:r>
    </w:p>
    <w:p>
      <w:pPr>
        <w:spacing w:after="120"/>
      </w:pPr>
      <w:r>
        <w:rPr>
          <w:rFonts w:ascii="Courier New" w:cs="Courier New" w:eastAsia="Courier New" w:hAnsi="Courier New"/>
          <w:color w:val="455A64"/>
          <w:sz w:val="18"/>
          <w:szCs w:val="18"/>
        </w:rPr>
        <w:t xml:space="preserve">pandas==2.1.0 | numpy==1.26.0 | matplotlib==3.8.0 | seaborn==0.13.0
scikit-learn==1.3.2 | scipy==1.11.3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6"/>
        <w:szCs w:val="16"/>
      </w:rPr>
      <w:t xml:space="preserve">Page </w:t>
    </w:r>
    <w:r>
      <w:rPr>
        <w:rFonts w:ascii="Arial" w:cs="Arial" w:eastAsia="Arial" w:hAnsi="Arial"/>
        <w:color w:val="90A4AE"/>
        <w:sz w:val="16"/>
        <w:szCs w:val="16"/>
      </w:rPr>
      <w:fldChar w:fldCharType="begin"/>
      <w:instrText xml:space="preserve">PAGE</w:instrText>
      <w:fldChar w:fldCharType="separate"/>
      <w:fldChar w:fldCharType="end"/>
    </w:r>
    <w:r>
      <w:rPr>
        <w:rFonts w:ascii="Arial" w:cs="Arial" w:eastAsia="Arial" w:hAnsi="Arial"/>
        <w:color w:val="90A4AE"/>
        <w:sz w:val="16"/>
        <w:szCs w:val="16"/>
      </w:rPr>
      <w:t xml:space="preserve">  |  CONFIDENTIAL — Professional Portfolio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1"/>
      </w:pBdr>
    </w:pPr>
    <w:r>
      <w:rPr>
        <w:rFonts w:ascii="Arial" w:cs="Arial" w:eastAsia="Arial" w:hAnsi="Arial"/>
        <w:color w:val="90A4AE"/>
        <w:sz w:val="16"/>
        <w:szCs w:val="16"/>
      </w:rPr>
      <w:t xml:space="preserve">Global Mental Health &amp; Workforce Productivity Analysis  |  Senior Data Analyst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234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8f0882dae220d18b67ebbeb28b9b67cdd34059.png"/><Relationship Id="rId10" Type="http://schemas.openxmlformats.org/officeDocument/2006/relationships/image" Target="media/6d56a1b2bd8e5c6f051ef07b07eb6e17afa401e6.png"/><Relationship Id="rId11" Type="http://schemas.openxmlformats.org/officeDocument/2006/relationships/image" Target="media/0b6005b0286423fac65c19de5a7f33b307d43ecc.png"/><Relationship Id="rId12" Type="http://schemas.openxmlformats.org/officeDocument/2006/relationships/image" Target="media/ffcb378c71de7548ac676f1a3423d71a3a88e44f.png"/><Relationship Id="rId13" Type="http://schemas.openxmlformats.org/officeDocument/2006/relationships/image" Target="media/a5cd6a274ec78b05aaaed1a2bfb6e4270d2f14ff.png"/><Relationship Id="rId14" Type="http://schemas.openxmlformats.org/officeDocument/2006/relationships/image" Target="media/47d626d4078ef20d5130d50214ee8110ac54f66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2026-04-19T17:06:28.984Z</dcterms:created>
  <dcterms:modified xsi:type="dcterms:W3CDTF">2026-04-19T17:06:28.985Z</dcterms:modified>
</cp:coreProperties>
</file>

<file path=docProps/custom.xml><?xml version="1.0" encoding="utf-8"?>
<Properties xmlns="http://schemas.openxmlformats.org/officeDocument/2006/custom-properties" xmlns:vt="http://schemas.openxmlformats.org/officeDocument/2006/docPropsVTypes"/>
</file>