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F6F5" w14:textId="61483DB2" w:rsidR="00D771F1" w:rsidRDefault="00D771F1" w:rsidP="711DD179">
      <w:pPr>
        <w:spacing w:before="120" w:after="0"/>
        <w:rPr>
          <w:rFonts w:ascii="Calibri" w:eastAsia="Calibri" w:hAnsi="Calibri" w:cs="Calibri"/>
        </w:rPr>
      </w:pPr>
    </w:p>
    <w:p w14:paraId="3C692050" w14:textId="69AD9CAB" w:rsidR="00D771F1" w:rsidRDefault="1FA6C323" w:rsidP="711DD179">
      <w:pPr>
        <w:tabs>
          <w:tab w:val="center" w:pos="2715"/>
        </w:tabs>
        <w:spacing w:before="120" w:after="0"/>
      </w:pPr>
      <w:r w:rsidRPr="48F532C0">
        <w:rPr>
          <w:rFonts w:ascii="Calibri" w:eastAsia="Calibri" w:hAnsi="Calibri" w:cs="Calibri"/>
        </w:rPr>
        <w:t xml:space="preserve"> </w:t>
      </w:r>
      <w:r>
        <w:rPr>
          <w:noProof/>
        </w:rPr>
        <w:drawing>
          <wp:inline distT="0" distB="0" distL="0" distR="0" wp14:anchorId="239D1081" wp14:editId="03214AC8">
            <wp:extent cx="2383743" cy="853514"/>
            <wp:effectExtent l="0" t="0" r="0" b="0"/>
            <wp:docPr id="19762985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98597" name=""/>
                    <pic:cNvPicPr/>
                  </pic:nvPicPr>
                  <pic:blipFill>
                    <a:blip r:embed="rId11">
                      <a:extLst>
                        <a:ext uri="{28A0092B-C50C-407E-A947-70E740481C1C}">
                          <a14:useLocalDpi xmlns:a14="http://schemas.microsoft.com/office/drawing/2010/main" val="0"/>
                        </a:ext>
                      </a:extLst>
                    </a:blip>
                    <a:stretch>
                      <a:fillRect/>
                    </a:stretch>
                  </pic:blipFill>
                  <pic:spPr>
                    <a:xfrm>
                      <a:off x="0" y="0"/>
                      <a:ext cx="2383743" cy="853514"/>
                    </a:xfrm>
                    <a:prstGeom prst="rect">
                      <a:avLst/>
                    </a:prstGeom>
                  </pic:spPr>
                </pic:pic>
              </a:graphicData>
            </a:graphic>
          </wp:inline>
        </w:drawing>
      </w:r>
    </w:p>
    <w:p w14:paraId="605F9F8B" w14:textId="494AF7C5" w:rsidR="00D771F1" w:rsidRDefault="1FA6C323" w:rsidP="711DD179">
      <w:pPr>
        <w:spacing w:before="120" w:after="0"/>
      </w:pPr>
      <w:r w:rsidRPr="711DD179">
        <w:rPr>
          <w:rFonts w:ascii="Calibri" w:eastAsia="Calibri" w:hAnsi="Calibri" w:cs="Calibri"/>
        </w:rPr>
        <w:t xml:space="preserve"> </w:t>
      </w:r>
    </w:p>
    <w:p w14:paraId="6546CFC0" w14:textId="478E9A37" w:rsidR="00D771F1" w:rsidRDefault="1FA6C323" w:rsidP="711DD179">
      <w:pPr>
        <w:spacing w:before="120" w:after="0"/>
      </w:pPr>
      <w:r w:rsidRPr="711DD179">
        <w:rPr>
          <w:rFonts w:ascii="Calibri" w:eastAsia="Calibri" w:hAnsi="Calibri" w:cs="Calibri"/>
        </w:rPr>
        <w:t xml:space="preserve"> </w:t>
      </w:r>
    </w:p>
    <w:p w14:paraId="504BBAC9" w14:textId="584B7290" w:rsidR="00D771F1" w:rsidRDefault="1FA6C323" w:rsidP="711DD179">
      <w:pPr>
        <w:spacing w:before="120" w:after="0"/>
      </w:pPr>
      <w:r w:rsidRPr="711DD179">
        <w:rPr>
          <w:rFonts w:ascii="Calibri" w:eastAsia="Calibri" w:hAnsi="Calibri" w:cs="Calibri"/>
        </w:rPr>
        <w:t xml:space="preserve"> </w:t>
      </w:r>
    </w:p>
    <w:p w14:paraId="3EF80E42" w14:textId="37191FB4" w:rsidR="00D771F1" w:rsidRDefault="1FA6C323" w:rsidP="479688E4">
      <w:pPr>
        <w:spacing w:before="120" w:after="0"/>
        <w:rPr>
          <w:rFonts w:ascii="Calibri" w:eastAsia="Calibri" w:hAnsi="Calibri" w:cs="Calibri"/>
          <w:sz w:val="40"/>
          <w:szCs w:val="40"/>
        </w:rPr>
      </w:pPr>
      <w:r w:rsidRPr="479688E4">
        <w:rPr>
          <w:rFonts w:ascii="Calibri" w:eastAsia="Calibri" w:hAnsi="Calibri" w:cs="Calibri"/>
          <w:sz w:val="40"/>
          <w:szCs w:val="40"/>
        </w:rPr>
        <w:t xml:space="preserve">Digital Grid Services </w:t>
      </w:r>
      <w:r w:rsidR="7FF74901" w:rsidRPr="479688E4">
        <w:rPr>
          <w:rFonts w:ascii="Calibri" w:eastAsia="Calibri" w:hAnsi="Calibri" w:cs="Calibri"/>
          <w:sz w:val="40"/>
          <w:szCs w:val="40"/>
        </w:rPr>
        <w:t>Iten</w:t>
      </w:r>
      <w:r w:rsidR="1DC090D9" w:rsidRPr="479688E4">
        <w:rPr>
          <w:rFonts w:ascii="Calibri" w:eastAsia="Calibri" w:hAnsi="Calibri" w:cs="Calibri"/>
          <w:sz w:val="40"/>
          <w:szCs w:val="40"/>
        </w:rPr>
        <w:t>t</w:t>
      </w:r>
      <w:r w:rsidR="7FF74901" w:rsidRPr="479688E4">
        <w:rPr>
          <w:rFonts w:ascii="Calibri" w:eastAsia="Calibri" w:hAnsi="Calibri" w:cs="Calibri"/>
          <w:sz w:val="40"/>
          <w:szCs w:val="40"/>
        </w:rPr>
        <w:t>ial</w:t>
      </w:r>
      <w:r w:rsidRPr="479688E4">
        <w:rPr>
          <w:rFonts w:ascii="Calibri" w:eastAsia="Calibri" w:hAnsi="Calibri" w:cs="Calibri"/>
          <w:sz w:val="40"/>
          <w:szCs w:val="40"/>
        </w:rPr>
        <w:t xml:space="preserve"> Workflows Best Practice</w:t>
      </w:r>
      <w:r w:rsidR="091AFCDE" w:rsidRPr="479688E4">
        <w:rPr>
          <w:rFonts w:ascii="Calibri" w:eastAsia="Calibri" w:hAnsi="Calibri" w:cs="Calibri"/>
          <w:sz w:val="40"/>
          <w:szCs w:val="40"/>
        </w:rPr>
        <w:t>s</w:t>
      </w:r>
      <w:r w:rsidR="00582B87" w:rsidRPr="479688E4">
        <w:rPr>
          <w:rFonts w:ascii="Calibri" w:eastAsia="Calibri" w:hAnsi="Calibri" w:cs="Calibri"/>
          <w:sz w:val="40"/>
          <w:szCs w:val="40"/>
        </w:rPr>
        <w:t xml:space="preserve"> </w:t>
      </w:r>
      <w:r w:rsidR="00A71501" w:rsidRPr="479688E4">
        <w:rPr>
          <w:rFonts w:ascii="Calibri" w:eastAsia="Calibri" w:hAnsi="Calibri" w:cs="Calibri"/>
          <w:sz w:val="40"/>
          <w:szCs w:val="40"/>
        </w:rPr>
        <w:t>(under de</w:t>
      </w:r>
      <w:r w:rsidR="0001371C" w:rsidRPr="479688E4">
        <w:rPr>
          <w:rFonts w:ascii="Calibri" w:eastAsia="Calibri" w:hAnsi="Calibri" w:cs="Calibri"/>
          <w:sz w:val="40"/>
          <w:szCs w:val="40"/>
        </w:rPr>
        <w:t>velopment)</w:t>
      </w:r>
    </w:p>
    <w:p w14:paraId="4D35BCB9" w14:textId="3B85453B" w:rsidR="00D771F1" w:rsidRDefault="1FA6C323" w:rsidP="711DD179">
      <w:pPr>
        <w:spacing w:before="120" w:after="0"/>
      </w:pPr>
      <w:r w:rsidRPr="711DD179">
        <w:rPr>
          <w:rFonts w:ascii="Calibri" w:eastAsia="Calibri" w:hAnsi="Calibri" w:cs="Calibri"/>
        </w:rPr>
        <w:t>Date of the Document</w:t>
      </w:r>
    </w:p>
    <w:p w14:paraId="747D3EB1" w14:textId="5E23447F" w:rsidR="00D771F1" w:rsidRDefault="1FA6C323" w:rsidP="711DD179">
      <w:pPr>
        <w:spacing w:before="120" w:after="0"/>
      </w:pPr>
      <w:r w:rsidRPr="479688E4">
        <w:rPr>
          <w:rFonts w:ascii="Calibri" w:eastAsia="Calibri" w:hAnsi="Calibri" w:cs="Calibri"/>
        </w:rPr>
        <w:t>2025-08-1</w:t>
      </w:r>
      <w:r w:rsidR="0FC2E304" w:rsidRPr="479688E4">
        <w:rPr>
          <w:rFonts w:ascii="Calibri" w:eastAsia="Calibri" w:hAnsi="Calibri" w:cs="Calibri"/>
        </w:rPr>
        <w:t>0</w:t>
      </w:r>
    </w:p>
    <w:p w14:paraId="17E7A735" w14:textId="283F4909" w:rsidR="00D771F1" w:rsidRDefault="1FA6C323" w:rsidP="711DD179">
      <w:pPr>
        <w:spacing w:before="120" w:after="0"/>
      </w:pPr>
      <w:r w:rsidRPr="711DD179">
        <w:rPr>
          <w:rFonts w:ascii="Calibri" w:eastAsia="Calibri" w:hAnsi="Calibri" w:cs="Calibri"/>
        </w:rPr>
        <w:t xml:space="preserve"> </w:t>
      </w:r>
    </w:p>
    <w:p w14:paraId="71FCD98C" w14:textId="55AE76E2" w:rsidR="00D771F1" w:rsidRDefault="1FA6C323" w:rsidP="711DD179">
      <w:pPr>
        <w:spacing w:before="120" w:after="0"/>
      </w:pPr>
      <w:r w:rsidRPr="711DD179">
        <w:rPr>
          <w:rFonts w:ascii="Calibri" w:eastAsia="Calibri" w:hAnsi="Calibri" w:cs="Calibri"/>
        </w:rPr>
        <w:t xml:space="preserve"> </w:t>
      </w:r>
    </w:p>
    <w:p w14:paraId="06DB8075" w14:textId="67BD56E0" w:rsidR="00D771F1" w:rsidRDefault="1FA6C323" w:rsidP="711DD179">
      <w:pPr>
        <w:spacing w:before="120" w:after="0"/>
      </w:pPr>
      <w:r w:rsidRPr="711DD179">
        <w:rPr>
          <w:rFonts w:ascii="Calibri" w:eastAsia="Calibri" w:hAnsi="Calibri" w:cs="Calibri"/>
        </w:rPr>
        <w:t>Prepared by:</w:t>
      </w:r>
    </w:p>
    <w:p w14:paraId="1F6D074C" w14:textId="1A49C8AF" w:rsidR="00D771F1" w:rsidRDefault="1FA6C323" w:rsidP="711DD179">
      <w:pPr>
        <w:spacing w:before="120" w:after="0"/>
      </w:pPr>
      <w:r w:rsidRPr="711DD179">
        <w:rPr>
          <w:rFonts w:ascii="Calibri" w:eastAsia="Calibri" w:hAnsi="Calibri" w:cs="Calibri"/>
        </w:rPr>
        <w:t>Digital Grid Services</w:t>
      </w:r>
    </w:p>
    <w:p w14:paraId="1AB52713" w14:textId="0821A4C4" w:rsidR="00D771F1" w:rsidRDefault="1FA6C323" w:rsidP="711DD179">
      <w:pPr>
        <w:spacing w:before="120" w:after="0"/>
      </w:pPr>
      <w:r w:rsidRPr="711DD179">
        <w:rPr>
          <w:rFonts w:ascii="Calibri" w:eastAsia="Calibri" w:hAnsi="Calibri" w:cs="Calibri"/>
        </w:rPr>
        <w:t xml:space="preserve"> </w:t>
      </w:r>
    </w:p>
    <w:p w14:paraId="618C61F8" w14:textId="7D06CFF4" w:rsidR="00D771F1" w:rsidRDefault="1FA6C323" w:rsidP="479688E4">
      <w:pPr>
        <w:spacing w:before="120" w:after="0"/>
        <w:rPr>
          <w:rFonts w:ascii="Calibri" w:eastAsia="Calibri" w:hAnsi="Calibri" w:cs="Calibri"/>
        </w:rPr>
      </w:pPr>
      <w:r w:rsidRPr="479688E4">
        <w:rPr>
          <w:rFonts w:ascii="Calibri" w:eastAsia="Calibri" w:hAnsi="Calibri" w:cs="Calibri"/>
        </w:rPr>
        <w:t xml:space="preserve"> </w:t>
      </w:r>
    </w:p>
    <w:p w14:paraId="0D43D138" w14:textId="3ADD0371" w:rsidR="00D771F1" w:rsidRDefault="1FA6C323" w:rsidP="711DD179">
      <w:pPr>
        <w:spacing w:before="120" w:after="0"/>
      </w:pPr>
      <w:r w:rsidRPr="711DD179">
        <w:rPr>
          <w:rFonts w:ascii="Calibri" w:eastAsia="Calibri" w:hAnsi="Calibri" w:cs="Calibri"/>
        </w:rPr>
        <w:t xml:space="preserve"> </w:t>
      </w:r>
    </w:p>
    <w:p w14:paraId="556AFE8F" w14:textId="37A54BD3" w:rsidR="00D771F1" w:rsidRDefault="1FA6C323" w:rsidP="711DD179">
      <w:pPr>
        <w:spacing w:before="120" w:after="0"/>
      </w:pPr>
      <w:r w:rsidRPr="711DD179">
        <w:rPr>
          <w:rFonts w:ascii="Calibri" w:eastAsia="Calibri" w:hAnsi="Calibri" w:cs="Calibri"/>
        </w:rPr>
        <w:t xml:space="preserve"> </w:t>
      </w:r>
    </w:p>
    <w:p w14:paraId="64016020" w14:textId="0F1F55C6" w:rsidR="00D771F1" w:rsidRDefault="1FA6C323" w:rsidP="711DD179">
      <w:pPr>
        <w:spacing w:before="120" w:after="0"/>
        <w:rPr>
          <w:rFonts w:ascii="Calibri" w:eastAsia="Calibri" w:hAnsi="Calibri" w:cs="Calibri"/>
        </w:rPr>
      </w:pPr>
      <w:r w:rsidRPr="711DD179">
        <w:rPr>
          <w:rFonts w:ascii="Calibri" w:eastAsia="Calibri" w:hAnsi="Calibri" w:cs="Calibri"/>
        </w:rPr>
        <w:t xml:space="preserve"> </w:t>
      </w:r>
    </w:p>
    <w:p w14:paraId="562240C2" w14:textId="77777777" w:rsidR="00146CAA" w:rsidRDefault="00146CAA" w:rsidP="711DD179">
      <w:pPr>
        <w:spacing w:before="120" w:after="0"/>
        <w:rPr>
          <w:rFonts w:ascii="Calibri" w:eastAsia="Calibri" w:hAnsi="Calibri" w:cs="Calibri"/>
        </w:rPr>
      </w:pPr>
    </w:p>
    <w:p w14:paraId="6C8A6253" w14:textId="77777777" w:rsidR="00146CAA" w:rsidRDefault="00146CAA" w:rsidP="711DD179">
      <w:pPr>
        <w:spacing w:before="120" w:after="0"/>
        <w:rPr>
          <w:rFonts w:ascii="Calibri" w:eastAsia="Calibri" w:hAnsi="Calibri" w:cs="Calibri"/>
        </w:rPr>
      </w:pPr>
    </w:p>
    <w:p w14:paraId="6DE5A029" w14:textId="77777777" w:rsidR="00146CAA" w:rsidRDefault="00146CAA" w:rsidP="711DD179">
      <w:pPr>
        <w:spacing w:before="120" w:after="0"/>
      </w:pPr>
    </w:p>
    <w:p w14:paraId="2489F927" w14:textId="749DEBB7" w:rsidR="00D771F1" w:rsidRDefault="1FA6C323" w:rsidP="711DD179">
      <w:pPr>
        <w:spacing w:before="120" w:after="0"/>
      </w:pPr>
      <w:r w:rsidRPr="711DD179">
        <w:rPr>
          <w:rFonts w:ascii="Calibri" w:eastAsia="Calibri" w:hAnsi="Calibri" w:cs="Calibri"/>
        </w:rPr>
        <w:t xml:space="preserve"> </w:t>
      </w:r>
    </w:p>
    <w:p w14:paraId="00F59335" w14:textId="25721399" w:rsidR="00D771F1" w:rsidRDefault="1FA6C323" w:rsidP="711DD179">
      <w:pPr>
        <w:spacing w:before="120" w:after="0"/>
      </w:pPr>
      <w:r w:rsidRPr="711DD179">
        <w:rPr>
          <w:rFonts w:ascii="Calibri" w:eastAsia="Calibri" w:hAnsi="Calibri" w:cs="Calibri"/>
        </w:rPr>
        <w:t>Document Version</w:t>
      </w:r>
    </w:p>
    <w:p w14:paraId="4BBB7B33" w14:textId="72F66755" w:rsidR="00D771F1" w:rsidRDefault="1FA6C323" w:rsidP="711DD179">
      <w:pPr>
        <w:spacing w:before="120" w:after="0"/>
      </w:pPr>
      <w:r w:rsidRPr="711DD179">
        <w:rPr>
          <w:rFonts w:ascii="Calibri" w:eastAsia="Calibri" w:hAnsi="Calibri" w:cs="Calibri"/>
        </w:rPr>
        <w:t>1.0</w:t>
      </w:r>
    </w:p>
    <w:sdt>
      <w:sdtPr>
        <w:rPr>
          <w:rFonts w:asciiTheme="minorHAnsi" w:eastAsiaTheme="minorEastAsia" w:hAnsiTheme="minorHAnsi" w:cstheme="minorBidi"/>
          <w:color w:val="auto"/>
          <w:sz w:val="24"/>
          <w:szCs w:val="24"/>
          <w:lang w:eastAsia="ja-JP"/>
        </w:rPr>
        <w:id w:val="-1557235235"/>
        <w:docPartObj>
          <w:docPartGallery w:val="Table of Contents"/>
          <w:docPartUnique/>
        </w:docPartObj>
      </w:sdtPr>
      <w:sdtEndPr>
        <w:rPr>
          <w:b/>
          <w:bCs/>
          <w:noProof/>
        </w:rPr>
      </w:sdtEndPr>
      <w:sdtContent>
        <w:p w14:paraId="5E506CA5" w14:textId="31497F88" w:rsidR="00677ABA" w:rsidRDefault="00677ABA">
          <w:pPr>
            <w:pStyle w:val="TOCHeading"/>
          </w:pPr>
          <w:r>
            <w:t>Table of Contents</w:t>
          </w:r>
        </w:p>
        <w:p w14:paraId="302B436F" w14:textId="473FE6FB" w:rsidR="00637A23" w:rsidRDefault="00677ABA">
          <w:pPr>
            <w:pStyle w:val="TOC2"/>
            <w:tabs>
              <w:tab w:val="right" w:leader="dot" w:pos="9350"/>
            </w:tabs>
            <w:rPr>
              <w:noProof/>
              <w:kern w:val="2"/>
              <w:sz w:val="22"/>
              <w:szCs w:val="22"/>
              <w:lang w:eastAsia="en-US"/>
              <w14:ligatures w14:val="standardContextual"/>
            </w:rPr>
          </w:pPr>
          <w:r>
            <w:fldChar w:fldCharType="begin"/>
          </w:r>
          <w:r>
            <w:instrText xml:space="preserve"> TOC \o "1-3" \h \z \u </w:instrText>
          </w:r>
          <w:r>
            <w:fldChar w:fldCharType="separate"/>
          </w:r>
          <w:hyperlink w:anchor="_Toc207872444" w:history="1">
            <w:r w:rsidR="00637A23" w:rsidRPr="007B36CD">
              <w:rPr>
                <w:rStyle w:val="Hyperlink"/>
                <w:noProof/>
              </w:rPr>
              <w:t>1. Introduction</w:t>
            </w:r>
            <w:r w:rsidR="00637A23">
              <w:rPr>
                <w:noProof/>
                <w:webHidden/>
              </w:rPr>
              <w:tab/>
            </w:r>
            <w:r w:rsidR="00637A23">
              <w:rPr>
                <w:noProof/>
                <w:webHidden/>
              </w:rPr>
              <w:fldChar w:fldCharType="begin"/>
            </w:r>
            <w:r w:rsidR="00637A23">
              <w:rPr>
                <w:noProof/>
                <w:webHidden/>
              </w:rPr>
              <w:instrText xml:space="preserve"> PAGEREF _Toc207872444 \h </w:instrText>
            </w:r>
            <w:r w:rsidR="00637A23">
              <w:rPr>
                <w:noProof/>
                <w:webHidden/>
              </w:rPr>
            </w:r>
            <w:r w:rsidR="00637A23">
              <w:rPr>
                <w:noProof/>
                <w:webHidden/>
              </w:rPr>
              <w:fldChar w:fldCharType="separate"/>
            </w:r>
            <w:r w:rsidR="00637A23">
              <w:rPr>
                <w:noProof/>
                <w:webHidden/>
              </w:rPr>
              <w:t>3</w:t>
            </w:r>
            <w:r w:rsidR="00637A23">
              <w:rPr>
                <w:noProof/>
                <w:webHidden/>
              </w:rPr>
              <w:fldChar w:fldCharType="end"/>
            </w:r>
          </w:hyperlink>
        </w:p>
        <w:p w14:paraId="06C6B964" w14:textId="59121306" w:rsidR="00637A23" w:rsidRDefault="00637A23">
          <w:pPr>
            <w:pStyle w:val="TOC3"/>
            <w:tabs>
              <w:tab w:val="right" w:leader="dot" w:pos="9350"/>
            </w:tabs>
            <w:rPr>
              <w:noProof/>
              <w:kern w:val="2"/>
              <w:sz w:val="22"/>
              <w:szCs w:val="22"/>
              <w:lang w:eastAsia="en-US"/>
              <w14:ligatures w14:val="standardContextual"/>
            </w:rPr>
          </w:pPr>
          <w:hyperlink w:anchor="_Toc207872445" w:history="1">
            <w:r w:rsidRPr="007B36CD">
              <w:rPr>
                <w:rStyle w:val="Hyperlink"/>
                <w:noProof/>
              </w:rPr>
              <w:t>Purpose</w:t>
            </w:r>
            <w:r>
              <w:rPr>
                <w:noProof/>
                <w:webHidden/>
              </w:rPr>
              <w:tab/>
            </w:r>
            <w:r>
              <w:rPr>
                <w:noProof/>
                <w:webHidden/>
              </w:rPr>
              <w:fldChar w:fldCharType="begin"/>
            </w:r>
            <w:r>
              <w:rPr>
                <w:noProof/>
                <w:webHidden/>
              </w:rPr>
              <w:instrText xml:space="preserve"> PAGEREF _Toc207872445 \h </w:instrText>
            </w:r>
            <w:r>
              <w:rPr>
                <w:noProof/>
                <w:webHidden/>
              </w:rPr>
            </w:r>
            <w:r>
              <w:rPr>
                <w:noProof/>
                <w:webHidden/>
              </w:rPr>
              <w:fldChar w:fldCharType="separate"/>
            </w:r>
            <w:r>
              <w:rPr>
                <w:noProof/>
                <w:webHidden/>
              </w:rPr>
              <w:t>3</w:t>
            </w:r>
            <w:r>
              <w:rPr>
                <w:noProof/>
                <w:webHidden/>
              </w:rPr>
              <w:fldChar w:fldCharType="end"/>
            </w:r>
          </w:hyperlink>
        </w:p>
        <w:p w14:paraId="10C2F06C" w14:textId="5919B362" w:rsidR="00637A23" w:rsidRDefault="00637A23">
          <w:pPr>
            <w:pStyle w:val="TOC3"/>
            <w:tabs>
              <w:tab w:val="right" w:leader="dot" w:pos="9350"/>
            </w:tabs>
            <w:rPr>
              <w:noProof/>
              <w:kern w:val="2"/>
              <w:sz w:val="22"/>
              <w:szCs w:val="22"/>
              <w:lang w:eastAsia="en-US"/>
              <w14:ligatures w14:val="standardContextual"/>
            </w:rPr>
          </w:pPr>
          <w:hyperlink w:anchor="_Toc207872446" w:history="1">
            <w:r w:rsidRPr="007B36CD">
              <w:rPr>
                <w:rStyle w:val="Hyperlink"/>
                <w:noProof/>
              </w:rPr>
              <w:t>Scope</w:t>
            </w:r>
            <w:r>
              <w:rPr>
                <w:noProof/>
                <w:webHidden/>
              </w:rPr>
              <w:tab/>
            </w:r>
            <w:r>
              <w:rPr>
                <w:noProof/>
                <w:webHidden/>
              </w:rPr>
              <w:fldChar w:fldCharType="begin"/>
            </w:r>
            <w:r>
              <w:rPr>
                <w:noProof/>
                <w:webHidden/>
              </w:rPr>
              <w:instrText xml:space="preserve"> PAGEREF _Toc207872446 \h </w:instrText>
            </w:r>
            <w:r>
              <w:rPr>
                <w:noProof/>
                <w:webHidden/>
              </w:rPr>
            </w:r>
            <w:r>
              <w:rPr>
                <w:noProof/>
                <w:webHidden/>
              </w:rPr>
              <w:fldChar w:fldCharType="separate"/>
            </w:r>
            <w:r>
              <w:rPr>
                <w:noProof/>
                <w:webHidden/>
              </w:rPr>
              <w:t>3</w:t>
            </w:r>
            <w:r>
              <w:rPr>
                <w:noProof/>
                <w:webHidden/>
              </w:rPr>
              <w:fldChar w:fldCharType="end"/>
            </w:r>
          </w:hyperlink>
        </w:p>
        <w:p w14:paraId="218E1077" w14:textId="4893EE39" w:rsidR="00637A23" w:rsidRDefault="00637A23">
          <w:pPr>
            <w:pStyle w:val="TOC3"/>
            <w:tabs>
              <w:tab w:val="right" w:leader="dot" w:pos="9350"/>
            </w:tabs>
            <w:rPr>
              <w:noProof/>
              <w:kern w:val="2"/>
              <w:sz w:val="22"/>
              <w:szCs w:val="22"/>
              <w:lang w:eastAsia="en-US"/>
              <w14:ligatures w14:val="standardContextual"/>
            </w:rPr>
          </w:pPr>
          <w:hyperlink w:anchor="_Toc207872447" w:history="1">
            <w:r w:rsidRPr="007B36CD">
              <w:rPr>
                <w:rStyle w:val="Hyperlink"/>
                <w:noProof/>
              </w:rPr>
              <w:t>Audience</w:t>
            </w:r>
            <w:r>
              <w:rPr>
                <w:noProof/>
                <w:webHidden/>
              </w:rPr>
              <w:tab/>
            </w:r>
            <w:r>
              <w:rPr>
                <w:noProof/>
                <w:webHidden/>
              </w:rPr>
              <w:fldChar w:fldCharType="begin"/>
            </w:r>
            <w:r>
              <w:rPr>
                <w:noProof/>
                <w:webHidden/>
              </w:rPr>
              <w:instrText xml:space="preserve"> PAGEREF _Toc207872447 \h </w:instrText>
            </w:r>
            <w:r>
              <w:rPr>
                <w:noProof/>
                <w:webHidden/>
              </w:rPr>
            </w:r>
            <w:r>
              <w:rPr>
                <w:noProof/>
                <w:webHidden/>
              </w:rPr>
              <w:fldChar w:fldCharType="separate"/>
            </w:r>
            <w:r>
              <w:rPr>
                <w:noProof/>
                <w:webHidden/>
              </w:rPr>
              <w:t>3</w:t>
            </w:r>
            <w:r>
              <w:rPr>
                <w:noProof/>
                <w:webHidden/>
              </w:rPr>
              <w:fldChar w:fldCharType="end"/>
            </w:r>
          </w:hyperlink>
        </w:p>
        <w:p w14:paraId="621A65AB" w14:textId="2E841DF4" w:rsidR="00637A23" w:rsidRDefault="00637A23">
          <w:pPr>
            <w:pStyle w:val="TOC3"/>
            <w:tabs>
              <w:tab w:val="right" w:leader="dot" w:pos="9350"/>
            </w:tabs>
            <w:rPr>
              <w:noProof/>
              <w:kern w:val="2"/>
              <w:sz w:val="22"/>
              <w:szCs w:val="22"/>
              <w:lang w:eastAsia="en-US"/>
              <w14:ligatures w14:val="standardContextual"/>
            </w:rPr>
          </w:pPr>
          <w:hyperlink w:anchor="_Toc207872448" w:history="1">
            <w:r w:rsidRPr="007B36CD">
              <w:rPr>
                <w:rStyle w:val="Hyperlink"/>
                <w:noProof/>
              </w:rPr>
              <w:t>Objectives</w:t>
            </w:r>
            <w:r>
              <w:rPr>
                <w:noProof/>
                <w:webHidden/>
              </w:rPr>
              <w:tab/>
            </w:r>
            <w:r>
              <w:rPr>
                <w:noProof/>
                <w:webHidden/>
              </w:rPr>
              <w:fldChar w:fldCharType="begin"/>
            </w:r>
            <w:r>
              <w:rPr>
                <w:noProof/>
                <w:webHidden/>
              </w:rPr>
              <w:instrText xml:space="preserve"> PAGEREF _Toc207872448 \h </w:instrText>
            </w:r>
            <w:r>
              <w:rPr>
                <w:noProof/>
                <w:webHidden/>
              </w:rPr>
            </w:r>
            <w:r>
              <w:rPr>
                <w:noProof/>
                <w:webHidden/>
              </w:rPr>
              <w:fldChar w:fldCharType="separate"/>
            </w:r>
            <w:r>
              <w:rPr>
                <w:noProof/>
                <w:webHidden/>
              </w:rPr>
              <w:t>3</w:t>
            </w:r>
            <w:r>
              <w:rPr>
                <w:noProof/>
                <w:webHidden/>
              </w:rPr>
              <w:fldChar w:fldCharType="end"/>
            </w:r>
          </w:hyperlink>
        </w:p>
        <w:p w14:paraId="29BB330E" w14:textId="34412B9C" w:rsidR="00637A23" w:rsidRDefault="00637A23">
          <w:pPr>
            <w:pStyle w:val="TOC1"/>
            <w:tabs>
              <w:tab w:val="right" w:leader="dot" w:pos="9350"/>
            </w:tabs>
            <w:rPr>
              <w:noProof/>
              <w:kern w:val="2"/>
              <w:sz w:val="22"/>
              <w:szCs w:val="22"/>
              <w:lang w:eastAsia="en-US"/>
              <w14:ligatures w14:val="standardContextual"/>
            </w:rPr>
          </w:pPr>
          <w:hyperlink w:anchor="_Toc207872449" w:history="1">
            <w:r w:rsidRPr="007B36CD">
              <w:rPr>
                <w:rStyle w:val="Hyperlink"/>
                <w:noProof/>
              </w:rPr>
              <w:t>2. Workflow Best Practices</w:t>
            </w:r>
            <w:r>
              <w:rPr>
                <w:noProof/>
                <w:webHidden/>
              </w:rPr>
              <w:tab/>
            </w:r>
            <w:r>
              <w:rPr>
                <w:noProof/>
                <w:webHidden/>
              </w:rPr>
              <w:fldChar w:fldCharType="begin"/>
            </w:r>
            <w:r>
              <w:rPr>
                <w:noProof/>
                <w:webHidden/>
              </w:rPr>
              <w:instrText xml:space="preserve"> PAGEREF _Toc207872449 \h </w:instrText>
            </w:r>
            <w:r>
              <w:rPr>
                <w:noProof/>
                <w:webHidden/>
              </w:rPr>
            </w:r>
            <w:r>
              <w:rPr>
                <w:noProof/>
                <w:webHidden/>
              </w:rPr>
              <w:fldChar w:fldCharType="separate"/>
            </w:r>
            <w:r>
              <w:rPr>
                <w:noProof/>
                <w:webHidden/>
              </w:rPr>
              <w:t>4</w:t>
            </w:r>
            <w:r>
              <w:rPr>
                <w:noProof/>
                <w:webHidden/>
              </w:rPr>
              <w:fldChar w:fldCharType="end"/>
            </w:r>
          </w:hyperlink>
        </w:p>
        <w:p w14:paraId="0DA26313" w14:textId="3100A3FE" w:rsidR="00637A23" w:rsidRDefault="00637A23">
          <w:pPr>
            <w:pStyle w:val="TOC2"/>
            <w:tabs>
              <w:tab w:val="right" w:leader="dot" w:pos="9350"/>
            </w:tabs>
            <w:rPr>
              <w:noProof/>
              <w:kern w:val="2"/>
              <w:sz w:val="22"/>
              <w:szCs w:val="22"/>
              <w:lang w:eastAsia="en-US"/>
              <w14:ligatures w14:val="standardContextual"/>
            </w:rPr>
          </w:pPr>
          <w:hyperlink w:anchor="_Toc207872450" w:history="1">
            <w:r w:rsidRPr="007B36CD">
              <w:rPr>
                <w:rStyle w:val="Hyperlink"/>
                <w:noProof/>
              </w:rPr>
              <w:t>2.1 Top-to-Bottom Design for Workflow Clarity</w:t>
            </w:r>
            <w:r>
              <w:rPr>
                <w:noProof/>
                <w:webHidden/>
              </w:rPr>
              <w:tab/>
            </w:r>
            <w:r>
              <w:rPr>
                <w:noProof/>
                <w:webHidden/>
              </w:rPr>
              <w:fldChar w:fldCharType="begin"/>
            </w:r>
            <w:r>
              <w:rPr>
                <w:noProof/>
                <w:webHidden/>
              </w:rPr>
              <w:instrText xml:space="preserve"> PAGEREF _Toc207872450 \h </w:instrText>
            </w:r>
            <w:r>
              <w:rPr>
                <w:noProof/>
                <w:webHidden/>
              </w:rPr>
            </w:r>
            <w:r>
              <w:rPr>
                <w:noProof/>
                <w:webHidden/>
              </w:rPr>
              <w:fldChar w:fldCharType="separate"/>
            </w:r>
            <w:r>
              <w:rPr>
                <w:noProof/>
                <w:webHidden/>
              </w:rPr>
              <w:t>4</w:t>
            </w:r>
            <w:r>
              <w:rPr>
                <w:noProof/>
                <w:webHidden/>
              </w:rPr>
              <w:fldChar w:fldCharType="end"/>
            </w:r>
          </w:hyperlink>
        </w:p>
        <w:p w14:paraId="29BF9237" w14:textId="4A27827F" w:rsidR="00637A23" w:rsidRDefault="00637A23">
          <w:pPr>
            <w:pStyle w:val="TOC2"/>
            <w:tabs>
              <w:tab w:val="right" w:leader="dot" w:pos="9350"/>
            </w:tabs>
            <w:rPr>
              <w:noProof/>
              <w:kern w:val="2"/>
              <w:sz w:val="22"/>
              <w:szCs w:val="22"/>
              <w:lang w:eastAsia="en-US"/>
              <w14:ligatures w14:val="standardContextual"/>
            </w:rPr>
          </w:pPr>
          <w:hyperlink w:anchor="_Toc207872451" w:history="1">
            <w:r w:rsidRPr="007B36CD">
              <w:rPr>
                <w:rStyle w:val="Hyperlink"/>
                <w:noProof/>
              </w:rPr>
              <w:t>2.2 Descriptive Task Summaries</w:t>
            </w:r>
            <w:r>
              <w:rPr>
                <w:noProof/>
                <w:webHidden/>
              </w:rPr>
              <w:tab/>
            </w:r>
            <w:r>
              <w:rPr>
                <w:noProof/>
                <w:webHidden/>
              </w:rPr>
              <w:fldChar w:fldCharType="begin"/>
            </w:r>
            <w:r>
              <w:rPr>
                <w:noProof/>
                <w:webHidden/>
              </w:rPr>
              <w:instrText xml:space="preserve"> PAGEREF _Toc207872451 \h </w:instrText>
            </w:r>
            <w:r>
              <w:rPr>
                <w:noProof/>
                <w:webHidden/>
              </w:rPr>
            </w:r>
            <w:r>
              <w:rPr>
                <w:noProof/>
                <w:webHidden/>
              </w:rPr>
              <w:fldChar w:fldCharType="separate"/>
            </w:r>
            <w:r>
              <w:rPr>
                <w:noProof/>
                <w:webHidden/>
              </w:rPr>
              <w:t>5</w:t>
            </w:r>
            <w:r>
              <w:rPr>
                <w:noProof/>
                <w:webHidden/>
              </w:rPr>
              <w:fldChar w:fldCharType="end"/>
            </w:r>
          </w:hyperlink>
        </w:p>
        <w:p w14:paraId="3559184E" w14:textId="6C5F378E" w:rsidR="00637A23" w:rsidRDefault="00637A23">
          <w:pPr>
            <w:pStyle w:val="TOC2"/>
            <w:tabs>
              <w:tab w:val="right" w:leader="dot" w:pos="9350"/>
            </w:tabs>
            <w:rPr>
              <w:noProof/>
              <w:kern w:val="2"/>
              <w:sz w:val="22"/>
              <w:szCs w:val="22"/>
              <w:lang w:eastAsia="en-US"/>
              <w14:ligatures w14:val="standardContextual"/>
            </w:rPr>
          </w:pPr>
          <w:hyperlink w:anchor="_Toc207872452" w:history="1">
            <w:r w:rsidRPr="007B36CD">
              <w:rPr>
                <w:rStyle w:val="Hyperlink"/>
                <w:noProof/>
              </w:rPr>
              <w:t>2.3 Job Variable and Assets Naming Convention</w:t>
            </w:r>
            <w:r>
              <w:rPr>
                <w:noProof/>
                <w:webHidden/>
              </w:rPr>
              <w:tab/>
            </w:r>
            <w:r>
              <w:rPr>
                <w:noProof/>
                <w:webHidden/>
              </w:rPr>
              <w:fldChar w:fldCharType="begin"/>
            </w:r>
            <w:r>
              <w:rPr>
                <w:noProof/>
                <w:webHidden/>
              </w:rPr>
              <w:instrText xml:space="preserve"> PAGEREF _Toc207872452 \h </w:instrText>
            </w:r>
            <w:r>
              <w:rPr>
                <w:noProof/>
                <w:webHidden/>
              </w:rPr>
            </w:r>
            <w:r>
              <w:rPr>
                <w:noProof/>
                <w:webHidden/>
              </w:rPr>
              <w:fldChar w:fldCharType="separate"/>
            </w:r>
            <w:r>
              <w:rPr>
                <w:noProof/>
                <w:webHidden/>
              </w:rPr>
              <w:t>5</w:t>
            </w:r>
            <w:r>
              <w:rPr>
                <w:noProof/>
                <w:webHidden/>
              </w:rPr>
              <w:fldChar w:fldCharType="end"/>
            </w:r>
          </w:hyperlink>
        </w:p>
        <w:p w14:paraId="36063763" w14:textId="7D8EFDBC" w:rsidR="00637A23" w:rsidRDefault="00637A23">
          <w:pPr>
            <w:pStyle w:val="TOC3"/>
            <w:tabs>
              <w:tab w:val="right" w:leader="dot" w:pos="9350"/>
            </w:tabs>
            <w:rPr>
              <w:noProof/>
              <w:kern w:val="2"/>
              <w:sz w:val="22"/>
              <w:szCs w:val="22"/>
              <w:lang w:eastAsia="en-US"/>
              <w14:ligatures w14:val="standardContextual"/>
            </w:rPr>
          </w:pPr>
          <w:hyperlink w:anchor="_Toc207872453" w:history="1">
            <w:r w:rsidRPr="007B36CD">
              <w:rPr>
                <w:rStyle w:val="Hyperlink"/>
                <w:noProof/>
              </w:rPr>
              <w:t>2.3.1 Workflow variables</w:t>
            </w:r>
            <w:r>
              <w:rPr>
                <w:noProof/>
                <w:webHidden/>
              </w:rPr>
              <w:tab/>
            </w:r>
            <w:r>
              <w:rPr>
                <w:noProof/>
                <w:webHidden/>
              </w:rPr>
              <w:fldChar w:fldCharType="begin"/>
            </w:r>
            <w:r>
              <w:rPr>
                <w:noProof/>
                <w:webHidden/>
              </w:rPr>
              <w:instrText xml:space="preserve"> PAGEREF _Toc207872453 \h </w:instrText>
            </w:r>
            <w:r>
              <w:rPr>
                <w:noProof/>
                <w:webHidden/>
              </w:rPr>
            </w:r>
            <w:r>
              <w:rPr>
                <w:noProof/>
                <w:webHidden/>
              </w:rPr>
              <w:fldChar w:fldCharType="separate"/>
            </w:r>
            <w:r>
              <w:rPr>
                <w:noProof/>
                <w:webHidden/>
              </w:rPr>
              <w:t>5</w:t>
            </w:r>
            <w:r>
              <w:rPr>
                <w:noProof/>
                <w:webHidden/>
              </w:rPr>
              <w:fldChar w:fldCharType="end"/>
            </w:r>
          </w:hyperlink>
        </w:p>
        <w:p w14:paraId="27879CA5" w14:textId="1814A464" w:rsidR="00637A23" w:rsidRDefault="00637A23">
          <w:pPr>
            <w:pStyle w:val="TOC3"/>
            <w:tabs>
              <w:tab w:val="right" w:leader="dot" w:pos="9350"/>
            </w:tabs>
            <w:rPr>
              <w:noProof/>
              <w:kern w:val="2"/>
              <w:sz w:val="22"/>
              <w:szCs w:val="22"/>
              <w:lang w:eastAsia="en-US"/>
              <w14:ligatures w14:val="standardContextual"/>
            </w:rPr>
          </w:pPr>
          <w:hyperlink w:anchor="_Toc207872454" w:history="1">
            <w:r w:rsidRPr="007B36CD">
              <w:rPr>
                <w:rStyle w:val="Hyperlink"/>
                <w:noProof/>
              </w:rPr>
              <w:t>2.3.2 Transformer Naming Conventions</w:t>
            </w:r>
            <w:r>
              <w:rPr>
                <w:noProof/>
                <w:webHidden/>
              </w:rPr>
              <w:tab/>
            </w:r>
            <w:r>
              <w:rPr>
                <w:noProof/>
                <w:webHidden/>
              </w:rPr>
              <w:fldChar w:fldCharType="begin"/>
            </w:r>
            <w:r>
              <w:rPr>
                <w:noProof/>
                <w:webHidden/>
              </w:rPr>
              <w:instrText xml:space="preserve"> PAGEREF _Toc207872454 \h </w:instrText>
            </w:r>
            <w:r>
              <w:rPr>
                <w:noProof/>
                <w:webHidden/>
              </w:rPr>
            </w:r>
            <w:r>
              <w:rPr>
                <w:noProof/>
                <w:webHidden/>
              </w:rPr>
              <w:fldChar w:fldCharType="separate"/>
            </w:r>
            <w:r>
              <w:rPr>
                <w:noProof/>
                <w:webHidden/>
              </w:rPr>
              <w:t>5</w:t>
            </w:r>
            <w:r>
              <w:rPr>
                <w:noProof/>
                <w:webHidden/>
              </w:rPr>
              <w:fldChar w:fldCharType="end"/>
            </w:r>
          </w:hyperlink>
        </w:p>
        <w:p w14:paraId="18912AF4" w14:textId="4CD81CFE" w:rsidR="00637A23" w:rsidRDefault="00637A23">
          <w:pPr>
            <w:pStyle w:val="TOC2"/>
            <w:tabs>
              <w:tab w:val="right" w:leader="dot" w:pos="9350"/>
            </w:tabs>
            <w:rPr>
              <w:noProof/>
              <w:kern w:val="2"/>
              <w:sz w:val="22"/>
              <w:szCs w:val="22"/>
              <w:lang w:eastAsia="en-US"/>
              <w14:ligatures w14:val="standardContextual"/>
            </w:rPr>
          </w:pPr>
          <w:hyperlink w:anchor="_Toc207872455" w:history="1">
            <w:r w:rsidRPr="007B36CD">
              <w:rPr>
                <w:rStyle w:val="Hyperlink"/>
                <w:noProof/>
              </w:rPr>
              <w:t>2.4 Error Handling</w:t>
            </w:r>
            <w:r>
              <w:rPr>
                <w:noProof/>
                <w:webHidden/>
              </w:rPr>
              <w:tab/>
            </w:r>
            <w:r>
              <w:rPr>
                <w:noProof/>
                <w:webHidden/>
              </w:rPr>
              <w:fldChar w:fldCharType="begin"/>
            </w:r>
            <w:r>
              <w:rPr>
                <w:noProof/>
                <w:webHidden/>
              </w:rPr>
              <w:instrText xml:space="preserve"> PAGEREF _Toc207872455 \h </w:instrText>
            </w:r>
            <w:r>
              <w:rPr>
                <w:noProof/>
                <w:webHidden/>
              </w:rPr>
            </w:r>
            <w:r>
              <w:rPr>
                <w:noProof/>
                <w:webHidden/>
              </w:rPr>
              <w:fldChar w:fldCharType="separate"/>
            </w:r>
            <w:r>
              <w:rPr>
                <w:noProof/>
                <w:webHidden/>
              </w:rPr>
              <w:t>6</w:t>
            </w:r>
            <w:r>
              <w:rPr>
                <w:noProof/>
                <w:webHidden/>
              </w:rPr>
              <w:fldChar w:fldCharType="end"/>
            </w:r>
          </w:hyperlink>
        </w:p>
        <w:p w14:paraId="14299149" w14:textId="2D10894B" w:rsidR="00637A23" w:rsidRDefault="00637A23">
          <w:pPr>
            <w:pStyle w:val="TOC2"/>
            <w:tabs>
              <w:tab w:val="right" w:leader="dot" w:pos="9350"/>
            </w:tabs>
            <w:rPr>
              <w:noProof/>
              <w:kern w:val="2"/>
              <w:sz w:val="22"/>
              <w:szCs w:val="22"/>
              <w:lang w:eastAsia="en-US"/>
              <w14:ligatures w14:val="standardContextual"/>
            </w:rPr>
          </w:pPr>
          <w:hyperlink w:anchor="_Toc207872456" w:history="1">
            <w:r w:rsidRPr="007B36CD">
              <w:rPr>
                <w:rStyle w:val="Hyperlink"/>
                <w:noProof/>
              </w:rPr>
              <w:t>2.5 Readme</w:t>
            </w:r>
            <w:r>
              <w:rPr>
                <w:noProof/>
                <w:webHidden/>
              </w:rPr>
              <w:tab/>
            </w:r>
            <w:r>
              <w:rPr>
                <w:noProof/>
                <w:webHidden/>
              </w:rPr>
              <w:fldChar w:fldCharType="begin"/>
            </w:r>
            <w:r>
              <w:rPr>
                <w:noProof/>
                <w:webHidden/>
              </w:rPr>
              <w:instrText xml:space="preserve"> PAGEREF _Toc207872456 \h </w:instrText>
            </w:r>
            <w:r>
              <w:rPr>
                <w:noProof/>
                <w:webHidden/>
              </w:rPr>
            </w:r>
            <w:r>
              <w:rPr>
                <w:noProof/>
                <w:webHidden/>
              </w:rPr>
              <w:fldChar w:fldCharType="separate"/>
            </w:r>
            <w:r>
              <w:rPr>
                <w:noProof/>
                <w:webHidden/>
              </w:rPr>
              <w:t>6</w:t>
            </w:r>
            <w:r>
              <w:rPr>
                <w:noProof/>
                <w:webHidden/>
              </w:rPr>
              <w:fldChar w:fldCharType="end"/>
            </w:r>
          </w:hyperlink>
        </w:p>
        <w:p w14:paraId="19B74B4E" w14:textId="1EB0FC4B" w:rsidR="00637A23" w:rsidRDefault="00637A23">
          <w:pPr>
            <w:pStyle w:val="TOC2"/>
            <w:tabs>
              <w:tab w:val="right" w:leader="dot" w:pos="9350"/>
            </w:tabs>
            <w:rPr>
              <w:noProof/>
              <w:kern w:val="2"/>
              <w:sz w:val="22"/>
              <w:szCs w:val="22"/>
              <w:lang w:eastAsia="en-US"/>
              <w14:ligatures w14:val="standardContextual"/>
            </w:rPr>
          </w:pPr>
          <w:hyperlink w:anchor="_Toc207872457" w:history="1">
            <w:r w:rsidRPr="007B36CD">
              <w:rPr>
                <w:rStyle w:val="Hyperlink"/>
                <w:noProof/>
              </w:rPr>
              <w:t>2.6 ChildJob Object</w:t>
            </w:r>
            <w:r>
              <w:rPr>
                <w:noProof/>
                <w:webHidden/>
              </w:rPr>
              <w:tab/>
            </w:r>
            <w:r>
              <w:rPr>
                <w:noProof/>
                <w:webHidden/>
              </w:rPr>
              <w:fldChar w:fldCharType="begin"/>
            </w:r>
            <w:r>
              <w:rPr>
                <w:noProof/>
                <w:webHidden/>
              </w:rPr>
              <w:instrText xml:space="preserve"> PAGEREF _Toc207872457 \h </w:instrText>
            </w:r>
            <w:r>
              <w:rPr>
                <w:noProof/>
                <w:webHidden/>
              </w:rPr>
            </w:r>
            <w:r>
              <w:rPr>
                <w:noProof/>
                <w:webHidden/>
              </w:rPr>
              <w:fldChar w:fldCharType="separate"/>
            </w:r>
            <w:r>
              <w:rPr>
                <w:noProof/>
                <w:webHidden/>
              </w:rPr>
              <w:t>6</w:t>
            </w:r>
            <w:r>
              <w:rPr>
                <w:noProof/>
                <w:webHidden/>
              </w:rPr>
              <w:fldChar w:fldCharType="end"/>
            </w:r>
          </w:hyperlink>
        </w:p>
        <w:p w14:paraId="27D0A224" w14:textId="480E06E1" w:rsidR="00637A23" w:rsidRDefault="00637A23">
          <w:pPr>
            <w:pStyle w:val="TOC1"/>
            <w:tabs>
              <w:tab w:val="right" w:leader="dot" w:pos="9350"/>
            </w:tabs>
            <w:rPr>
              <w:noProof/>
              <w:kern w:val="2"/>
              <w:sz w:val="22"/>
              <w:szCs w:val="22"/>
              <w:lang w:eastAsia="en-US"/>
              <w14:ligatures w14:val="standardContextual"/>
            </w:rPr>
          </w:pPr>
          <w:hyperlink w:anchor="_Toc207872458" w:history="1">
            <w:r w:rsidRPr="007B36CD">
              <w:rPr>
                <w:rStyle w:val="Hyperlink"/>
                <w:noProof/>
              </w:rPr>
              <w:t>3. BMC Helix and Itenial</w:t>
            </w:r>
            <w:r>
              <w:rPr>
                <w:noProof/>
                <w:webHidden/>
              </w:rPr>
              <w:tab/>
            </w:r>
            <w:r>
              <w:rPr>
                <w:noProof/>
                <w:webHidden/>
              </w:rPr>
              <w:fldChar w:fldCharType="begin"/>
            </w:r>
            <w:r>
              <w:rPr>
                <w:noProof/>
                <w:webHidden/>
              </w:rPr>
              <w:instrText xml:space="preserve"> PAGEREF _Toc207872458 \h </w:instrText>
            </w:r>
            <w:r>
              <w:rPr>
                <w:noProof/>
                <w:webHidden/>
              </w:rPr>
            </w:r>
            <w:r>
              <w:rPr>
                <w:noProof/>
                <w:webHidden/>
              </w:rPr>
              <w:fldChar w:fldCharType="separate"/>
            </w:r>
            <w:r>
              <w:rPr>
                <w:noProof/>
                <w:webHidden/>
              </w:rPr>
              <w:t>6</w:t>
            </w:r>
            <w:r>
              <w:rPr>
                <w:noProof/>
                <w:webHidden/>
              </w:rPr>
              <w:fldChar w:fldCharType="end"/>
            </w:r>
          </w:hyperlink>
        </w:p>
        <w:p w14:paraId="33D41715" w14:textId="09E8F867" w:rsidR="00677ABA" w:rsidRDefault="00677ABA">
          <w:r>
            <w:rPr>
              <w:b/>
              <w:bCs/>
              <w:noProof/>
            </w:rPr>
            <w:fldChar w:fldCharType="end"/>
          </w:r>
        </w:p>
      </w:sdtContent>
    </w:sdt>
    <w:p w14:paraId="2FD39B25" w14:textId="18A7366E" w:rsidR="00D771F1" w:rsidRDefault="1FA6C323" w:rsidP="711DD179">
      <w:pPr>
        <w:spacing w:before="120" w:after="0"/>
      </w:pPr>
      <w:r w:rsidRPr="613DA316">
        <w:rPr>
          <w:rFonts w:ascii="Calibri" w:eastAsia="Calibri" w:hAnsi="Calibri" w:cs="Calibri"/>
        </w:rPr>
        <w:t xml:space="preserve"> </w:t>
      </w:r>
    </w:p>
    <w:p w14:paraId="60430CED" w14:textId="62972C7B" w:rsidR="00D771F1" w:rsidRDefault="1FA6C323" w:rsidP="711DD179">
      <w:pPr>
        <w:spacing w:before="120" w:after="0"/>
      </w:pPr>
      <w:r w:rsidRPr="711DD179">
        <w:rPr>
          <w:rFonts w:ascii="Calibri" w:eastAsia="Calibri" w:hAnsi="Calibri" w:cs="Calibri"/>
        </w:rPr>
        <w:t xml:space="preserve"> </w:t>
      </w:r>
    </w:p>
    <w:p w14:paraId="72AED3AA" w14:textId="1B9B5D84" w:rsidR="00D771F1" w:rsidRDefault="1FA6C323" w:rsidP="711DD179">
      <w:pPr>
        <w:spacing w:before="120" w:after="0"/>
      </w:pPr>
      <w:r w:rsidRPr="711DD179">
        <w:rPr>
          <w:rFonts w:ascii="Calibri" w:eastAsia="Calibri" w:hAnsi="Calibri" w:cs="Calibri"/>
        </w:rPr>
        <w:t xml:space="preserve"> </w:t>
      </w:r>
    </w:p>
    <w:p w14:paraId="4FDE874A" w14:textId="664A383F" w:rsidR="00D771F1" w:rsidRDefault="1FA6C323" w:rsidP="711DD179">
      <w:pPr>
        <w:spacing w:before="120" w:after="0"/>
      </w:pPr>
      <w:r w:rsidRPr="711DD179">
        <w:rPr>
          <w:rFonts w:ascii="Calibri" w:eastAsia="Calibri" w:hAnsi="Calibri" w:cs="Calibri"/>
        </w:rPr>
        <w:t xml:space="preserve"> </w:t>
      </w:r>
    </w:p>
    <w:p w14:paraId="45656BF9" w14:textId="1EF6E3AA" w:rsidR="00D771F1" w:rsidRDefault="1FA6C323" w:rsidP="711DD179">
      <w:pPr>
        <w:spacing w:before="120" w:after="0"/>
      </w:pPr>
      <w:r w:rsidRPr="711DD179">
        <w:rPr>
          <w:rFonts w:ascii="Calibri" w:eastAsia="Calibri" w:hAnsi="Calibri" w:cs="Calibri"/>
        </w:rPr>
        <w:t xml:space="preserve"> </w:t>
      </w:r>
    </w:p>
    <w:p w14:paraId="3A881D89" w14:textId="0B9D4E9A" w:rsidR="00D771F1" w:rsidRDefault="1FA6C323" w:rsidP="711DD179">
      <w:pPr>
        <w:spacing w:before="120" w:after="0"/>
      </w:pPr>
      <w:r w:rsidRPr="711DD179">
        <w:rPr>
          <w:rFonts w:ascii="Calibri" w:eastAsia="Calibri" w:hAnsi="Calibri" w:cs="Calibri"/>
        </w:rPr>
        <w:t xml:space="preserve"> </w:t>
      </w:r>
    </w:p>
    <w:p w14:paraId="066DDE0A" w14:textId="74C6CAD0" w:rsidR="00D771F1" w:rsidRDefault="1FA6C323" w:rsidP="711DD179">
      <w:pPr>
        <w:spacing w:before="120" w:after="0"/>
      </w:pPr>
      <w:r w:rsidRPr="711DD179">
        <w:rPr>
          <w:rFonts w:ascii="Calibri" w:eastAsia="Calibri" w:hAnsi="Calibri" w:cs="Calibri"/>
        </w:rPr>
        <w:t xml:space="preserve"> </w:t>
      </w:r>
    </w:p>
    <w:p w14:paraId="74AA9125" w14:textId="533D7C8F" w:rsidR="00D771F1" w:rsidRDefault="1FA6C323" w:rsidP="711DD179">
      <w:pPr>
        <w:spacing w:before="120" w:after="0"/>
      </w:pPr>
      <w:r w:rsidRPr="711DD179">
        <w:rPr>
          <w:rFonts w:ascii="Calibri" w:eastAsia="Calibri" w:hAnsi="Calibri" w:cs="Calibri"/>
        </w:rPr>
        <w:t xml:space="preserve"> </w:t>
      </w:r>
    </w:p>
    <w:p w14:paraId="66D31776" w14:textId="22FA100F" w:rsidR="00D771F1" w:rsidRDefault="1FA6C323" w:rsidP="711DD179">
      <w:pPr>
        <w:spacing w:before="120" w:after="0"/>
      </w:pPr>
      <w:r w:rsidRPr="711DD179">
        <w:rPr>
          <w:rFonts w:ascii="Calibri" w:eastAsia="Calibri" w:hAnsi="Calibri" w:cs="Calibri"/>
        </w:rPr>
        <w:t xml:space="preserve"> </w:t>
      </w:r>
    </w:p>
    <w:p w14:paraId="340234BD" w14:textId="01E2DE66" w:rsidR="00D771F1" w:rsidRDefault="1FA6C323" w:rsidP="711DD179">
      <w:pPr>
        <w:spacing w:before="120" w:after="0"/>
      </w:pPr>
      <w:r w:rsidRPr="711DD179">
        <w:rPr>
          <w:rFonts w:ascii="Calibri" w:eastAsia="Calibri" w:hAnsi="Calibri" w:cs="Calibri"/>
        </w:rPr>
        <w:t xml:space="preserve"> </w:t>
      </w:r>
    </w:p>
    <w:p w14:paraId="38549935" w14:textId="6E862422" w:rsidR="00D771F1" w:rsidRDefault="1FA6C323" w:rsidP="711DD179">
      <w:pPr>
        <w:spacing w:before="120" w:after="0"/>
      </w:pPr>
      <w:r w:rsidRPr="711DD179">
        <w:rPr>
          <w:rFonts w:ascii="Calibri" w:eastAsia="Calibri" w:hAnsi="Calibri" w:cs="Calibri"/>
        </w:rPr>
        <w:t xml:space="preserve"> </w:t>
      </w:r>
    </w:p>
    <w:p w14:paraId="63B77BF7" w14:textId="2F012747" w:rsidR="00D771F1" w:rsidRDefault="1FA6C323" w:rsidP="711DD179">
      <w:pPr>
        <w:spacing w:before="120" w:after="0"/>
      </w:pPr>
      <w:r w:rsidRPr="711DD179">
        <w:rPr>
          <w:rFonts w:ascii="Calibri" w:eastAsia="Calibri" w:hAnsi="Calibri" w:cs="Calibri"/>
        </w:rPr>
        <w:t xml:space="preserve"> </w:t>
      </w:r>
    </w:p>
    <w:p w14:paraId="2A1A688F" w14:textId="063F3228" w:rsidR="00D771F1" w:rsidRDefault="1FA6C323" w:rsidP="711DD179">
      <w:pPr>
        <w:spacing w:before="120" w:after="0"/>
      </w:pPr>
      <w:r w:rsidRPr="711DD179">
        <w:rPr>
          <w:rFonts w:ascii="Calibri" w:eastAsia="Calibri" w:hAnsi="Calibri" w:cs="Calibri"/>
        </w:rPr>
        <w:t xml:space="preserve"> </w:t>
      </w:r>
    </w:p>
    <w:p w14:paraId="47D06500" w14:textId="10083A35" w:rsidR="00D771F1" w:rsidRDefault="1FA6C323" w:rsidP="711DD179">
      <w:pPr>
        <w:spacing w:before="120" w:after="0"/>
      </w:pPr>
      <w:r w:rsidRPr="711DD179">
        <w:rPr>
          <w:rFonts w:ascii="Calibri" w:eastAsia="Calibri" w:hAnsi="Calibri" w:cs="Calibri"/>
        </w:rPr>
        <w:t xml:space="preserve"> </w:t>
      </w:r>
    </w:p>
    <w:p w14:paraId="3A76902A" w14:textId="1F576B84" w:rsidR="00A93D84" w:rsidRPr="00BA71BB" w:rsidRDefault="00BA71BB" w:rsidP="00BA71BB">
      <w:pPr>
        <w:pStyle w:val="Heading2"/>
      </w:pPr>
      <w:bookmarkStart w:id="0" w:name="_Toc207872444"/>
      <w:r w:rsidRPr="00BA71BB">
        <w:t xml:space="preserve">1. </w:t>
      </w:r>
      <w:r w:rsidR="00A93D84" w:rsidRPr="00677ABA">
        <w:rPr>
          <w:sz w:val="40"/>
          <w:szCs w:val="40"/>
        </w:rPr>
        <w:t>Introduction</w:t>
      </w:r>
      <w:bookmarkEnd w:id="0"/>
    </w:p>
    <w:p w14:paraId="71856A87" w14:textId="77777777" w:rsidR="00A93D84" w:rsidRDefault="00A93D84" w:rsidP="00A93D84">
      <w:pPr>
        <w:pStyle w:val="Heading3"/>
      </w:pPr>
      <w:bookmarkStart w:id="1" w:name="_Toc207872445"/>
      <w:r>
        <w:t>Purpose</w:t>
      </w:r>
      <w:bookmarkEnd w:id="1"/>
    </w:p>
    <w:p w14:paraId="2654C3FE" w14:textId="77777777" w:rsidR="00A93D84" w:rsidRDefault="00A93D84" w:rsidP="00A93D84">
      <w:pPr>
        <w:pStyle w:val="NormalWeb"/>
      </w:pPr>
      <w:r>
        <w:t>The Southern California Edison (SCE) Digital Grid Services (DGS) team has adopted the Itential toolset to address the inherent complexity of modern, distributed infrastructure. By leveraging advanced automation, orchestration, and large-scale management capabilities, Itential enables SCE to drive greater operational efficiency, strengthen agility, and optimize performance across diverse technology environments.</w:t>
      </w:r>
    </w:p>
    <w:p w14:paraId="1CEF9FFF" w14:textId="34A96104" w:rsidR="00A93D84" w:rsidRDefault="00A93D84" w:rsidP="00A93D84">
      <w:pPr>
        <w:pStyle w:val="NormalWeb"/>
      </w:pPr>
      <w:r>
        <w:t>This document establishes best practices for designing, implementing, and maintaining Itential workflows within DGS. It serves as a reference to ensure consistency, scalability, and alignment with SCE’s broader digital grid transformation objectives</w:t>
      </w:r>
      <w:r w:rsidR="00A1489B">
        <w:t xml:space="preserve"> </w:t>
      </w:r>
      <w:r w:rsidR="00664BEE">
        <w:t>(IT2.0)</w:t>
      </w:r>
      <w:r>
        <w:t>.</w:t>
      </w:r>
    </w:p>
    <w:p w14:paraId="2FD9C05F" w14:textId="77777777" w:rsidR="00A93D84" w:rsidRDefault="00A93D84" w:rsidP="00A93D84">
      <w:pPr>
        <w:pStyle w:val="Heading3"/>
      </w:pPr>
      <w:bookmarkStart w:id="2" w:name="_Toc207872446"/>
      <w:r>
        <w:t>Scope</w:t>
      </w:r>
      <w:bookmarkEnd w:id="2"/>
    </w:p>
    <w:p w14:paraId="4FB5C1F8" w14:textId="66587DE5" w:rsidR="00A93D84" w:rsidRDefault="00A93D84" w:rsidP="00A93D84">
      <w:pPr>
        <w:pStyle w:val="NormalWeb"/>
      </w:pPr>
      <w:r>
        <w:t xml:space="preserve">The best practices described herein apply to all DGS personnel (including the third-party partners) who design, operate, or support network and infrastructure automation using Itential. While the primary focus </w:t>
      </w:r>
      <w:r w:rsidR="004E5638">
        <w:t xml:space="preserve">on the </w:t>
      </w:r>
      <w:r>
        <w:t>grid network environments, these practices may also be relevant to adjacent teams and external partners who depend on automated workflows and orchestration to deliver reliable and scalable outcomes.</w:t>
      </w:r>
    </w:p>
    <w:p w14:paraId="0ADF2F8C" w14:textId="77777777" w:rsidR="00A93D84" w:rsidRDefault="00A93D84" w:rsidP="00A93D84">
      <w:pPr>
        <w:pStyle w:val="Heading3"/>
      </w:pPr>
      <w:bookmarkStart w:id="3" w:name="_Toc207872447"/>
      <w:r>
        <w:t>Audience</w:t>
      </w:r>
      <w:bookmarkEnd w:id="3"/>
    </w:p>
    <w:p w14:paraId="2F2FC947" w14:textId="77777777" w:rsidR="00A93D84" w:rsidRDefault="00A93D84" w:rsidP="00A93D84">
      <w:pPr>
        <w:pStyle w:val="NormalWeb"/>
      </w:pPr>
      <w:r>
        <w:t>This document is intended for network engineers, telecom engineers, infrastructure engineers, cyber security, solution architects, and operations staff directly engaged in the deployment and maintenance of Itential workflows. It may also serve as a high-level reference for leadership, project managers, and stakeholders who oversee or support automation initiatives across SCE.</w:t>
      </w:r>
    </w:p>
    <w:p w14:paraId="57498434" w14:textId="77777777" w:rsidR="00A93D84" w:rsidRDefault="00A93D84" w:rsidP="00A93D84">
      <w:pPr>
        <w:pStyle w:val="Heading3"/>
      </w:pPr>
      <w:bookmarkStart w:id="4" w:name="_Toc207872448"/>
      <w:r>
        <w:t>Objectives</w:t>
      </w:r>
      <w:bookmarkEnd w:id="4"/>
    </w:p>
    <w:p w14:paraId="3A61AFCF" w14:textId="77777777" w:rsidR="00A93D84" w:rsidRDefault="00A93D84" w:rsidP="00A93D84">
      <w:pPr>
        <w:pStyle w:val="NormalWeb"/>
        <w:numPr>
          <w:ilvl w:val="0"/>
          <w:numId w:val="3"/>
        </w:numPr>
      </w:pPr>
      <w:r>
        <w:t>Establish a standardized approach for implementing and managing Itential workflows across DGS.</w:t>
      </w:r>
    </w:p>
    <w:p w14:paraId="50A267C6" w14:textId="77777777" w:rsidR="00A93D84" w:rsidRDefault="00A93D84" w:rsidP="00A93D84">
      <w:pPr>
        <w:pStyle w:val="NormalWeb"/>
        <w:numPr>
          <w:ilvl w:val="0"/>
          <w:numId w:val="3"/>
        </w:numPr>
      </w:pPr>
      <w:r>
        <w:t>Promote consistency, modularity, and maintainability in automation design.</w:t>
      </w:r>
    </w:p>
    <w:p w14:paraId="0173ED07" w14:textId="77777777" w:rsidR="00A93D84" w:rsidRDefault="00A93D84" w:rsidP="00A93D84">
      <w:pPr>
        <w:pStyle w:val="NormalWeb"/>
        <w:numPr>
          <w:ilvl w:val="0"/>
          <w:numId w:val="3"/>
        </w:numPr>
      </w:pPr>
      <w:r>
        <w:t>Enhance operational efficiency, agility, and resilience within SCE IT2.0 goals.</w:t>
      </w:r>
    </w:p>
    <w:p w14:paraId="5758CDB4" w14:textId="77777777" w:rsidR="00A93D84" w:rsidRDefault="00A93D84" w:rsidP="00A93D84">
      <w:pPr>
        <w:pStyle w:val="NormalWeb"/>
        <w:numPr>
          <w:ilvl w:val="0"/>
          <w:numId w:val="3"/>
        </w:numPr>
      </w:pPr>
      <w:r>
        <w:t>Support compliance, governance, and security requirements in line with enterprise standards.</w:t>
      </w:r>
    </w:p>
    <w:p w14:paraId="04D85A06" w14:textId="77777777" w:rsidR="00A93D84" w:rsidRDefault="00A93D84" w:rsidP="00A93D84">
      <w:pPr>
        <w:pStyle w:val="NormalWeb"/>
        <w:numPr>
          <w:ilvl w:val="0"/>
          <w:numId w:val="3"/>
        </w:numPr>
      </w:pPr>
      <w:r>
        <w:t>Facilitate collaboration, knowledge sharing, and continuous improvement across technical teams.</w:t>
      </w:r>
    </w:p>
    <w:p w14:paraId="06AEF313" w14:textId="7B0238C5" w:rsidR="00A93D84" w:rsidRDefault="00A93D84" w:rsidP="00A93D84">
      <w:pPr>
        <w:spacing w:before="120" w:after="0"/>
      </w:pPr>
    </w:p>
    <w:p w14:paraId="2E99A79A" w14:textId="03A976A7" w:rsidR="003A4105" w:rsidRDefault="00BA71BB" w:rsidP="003A4105">
      <w:pPr>
        <w:pStyle w:val="Heading1"/>
      </w:pPr>
      <w:bookmarkStart w:id="5" w:name="_Toc207872449"/>
      <w:r>
        <w:t>2</w:t>
      </w:r>
      <w:r w:rsidR="00995A82">
        <w:t xml:space="preserve">. </w:t>
      </w:r>
      <w:r w:rsidR="003A4105" w:rsidRPr="003A4105">
        <w:t>Workflow Best Practices</w:t>
      </w:r>
      <w:bookmarkEnd w:id="5"/>
    </w:p>
    <w:p w14:paraId="1929DF65" w14:textId="18F02535" w:rsidR="008E04D7" w:rsidRDefault="00BA71BB" w:rsidP="00DC7406">
      <w:pPr>
        <w:pStyle w:val="Heading2"/>
      </w:pPr>
      <w:bookmarkStart w:id="6" w:name="_Toc207872450"/>
      <w:r>
        <w:t>2</w:t>
      </w:r>
      <w:r w:rsidR="0051402E">
        <w:t>.</w:t>
      </w:r>
      <w:r w:rsidR="008E04D7">
        <w:t>1 Top-to-Bottom Design for Workflow Clarity</w:t>
      </w:r>
      <w:bookmarkEnd w:id="6"/>
    </w:p>
    <w:p w14:paraId="21265E19" w14:textId="3131F880" w:rsidR="008C5186" w:rsidRPr="008C5186" w:rsidRDefault="008E04D7" w:rsidP="008E04D7">
      <w:r>
        <w:rPr>
          <w:rFonts w:eastAsiaTheme="majorEastAsia"/>
        </w:rPr>
        <w:t xml:space="preserve">Design workflows to flow </w:t>
      </w:r>
      <w:r w:rsidR="004830FF">
        <w:rPr>
          <w:rFonts w:eastAsiaTheme="majorEastAsia"/>
        </w:rPr>
        <w:t xml:space="preserve">vertically </w:t>
      </w:r>
      <w:r w:rsidR="004830FF">
        <w:t>top</w:t>
      </w:r>
      <w:r>
        <w:t xml:space="preserve"> to </w:t>
      </w:r>
      <w:r w:rsidR="007066C4">
        <w:t>bottom (Waterfall style</w:t>
      </w:r>
      <w:r w:rsidR="00C016A4">
        <w:t>)</w:t>
      </w:r>
      <w:r>
        <w:rPr>
          <w:rFonts w:eastAsiaTheme="majorEastAsia"/>
        </w:rPr>
        <w:t xml:space="preserve">, with divergence handled </w:t>
      </w:r>
      <w:r w:rsidR="0061533B">
        <w:t>right</w:t>
      </w:r>
      <w:r w:rsidR="004830FF">
        <w:t xml:space="preserve"> </w:t>
      </w:r>
      <w:r>
        <w:t xml:space="preserve">to </w:t>
      </w:r>
      <w:r w:rsidR="0061533B">
        <w:t>left</w:t>
      </w:r>
      <w:r>
        <w:rPr>
          <w:rFonts w:eastAsiaTheme="majorEastAsia"/>
        </w:rPr>
        <w:t xml:space="preserve">, and success or failure paths directed </w:t>
      </w:r>
      <w:r w:rsidR="00987DDA">
        <w:t>left</w:t>
      </w:r>
      <w:r>
        <w:t xml:space="preserve"> to </w:t>
      </w:r>
      <w:r w:rsidR="00987DDA">
        <w:t>right</w:t>
      </w:r>
      <w:r>
        <w:rPr>
          <w:rFonts w:eastAsiaTheme="majorEastAsia"/>
        </w:rPr>
        <w:t xml:space="preserve">. This orientation enhances readability and comprehension, especially for complex </w:t>
      </w:r>
      <w:r w:rsidR="00FF5A6C">
        <w:rPr>
          <w:rFonts w:eastAsiaTheme="majorEastAsia"/>
        </w:rPr>
        <w:t>workflow</w:t>
      </w:r>
      <w:r w:rsidR="004830FF">
        <w:rPr>
          <w:rFonts w:eastAsiaTheme="majorEastAsia"/>
        </w:rPr>
        <w:t>.</w:t>
      </w:r>
      <w:r w:rsidR="007C02D4">
        <w:rPr>
          <w:rFonts w:eastAsiaTheme="majorEastAsia"/>
        </w:rPr>
        <w:t xml:space="preserve"> For example,</w:t>
      </w:r>
    </w:p>
    <w:p w14:paraId="38F5AAF2" w14:textId="15398D07" w:rsidR="007C02D4" w:rsidRPr="008C5186" w:rsidRDefault="007C02D4" w:rsidP="008E04D7">
      <w:r w:rsidRPr="007C02D4">
        <w:rPr>
          <w:noProof/>
        </w:rPr>
        <w:drawing>
          <wp:inline distT="0" distB="0" distL="0" distR="0" wp14:anchorId="5BE3F9C4" wp14:editId="3C0C089F">
            <wp:extent cx="5943600" cy="5608955"/>
            <wp:effectExtent l="0" t="0" r="0" b="0"/>
            <wp:docPr id="127821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18408" name=""/>
                    <pic:cNvPicPr/>
                  </pic:nvPicPr>
                  <pic:blipFill>
                    <a:blip r:embed="rId12"/>
                    <a:stretch>
                      <a:fillRect/>
                    </a:stretch>
                  </pic:blipFill>
                  <pic:spPr>
                    <a:xfrm>
                      <a:off x="0" y="0"/>
                      <a:ext cx="5943600" cy="5608955"/>
                    </a:xfrm>
                    <a:prstGeom prst="rect">
                      <a:avLst/>
                    </a:prstGeom>
                  </pic:spPr>
                </pic:pic>
              </a:graphicData>
            </a:graphic>
          </wp:inline>
        </w:drawing>
      </w:r>
    </w:p>
    <w:p w14:paraId="4BD87621" w14:textId="77777777" w:rsidR="00C20B0E" w:rsidRPr="00912F95" w:rsidRDefault="00C20B0E" w:rsidP="00912F95"/>
    <w:p w14:paraId="2C078E63" w14:textId="0153A544" w:rsidR="00D771F1" w:rsidRDefault="00BA71BB" w:rsidP="00C20B0E">
      <w:pPr>
        <w:pStyle w:val="Heading2"/>
        <w:rPr>
          <w:rStyle w:val="Strong"/>
          <w:b w:val="0"/>
          <w:bCs w:val="0"/>
        </w:rPr>
      </w:pPr>
      <w:bookmarkStart w:id="7" w:name="_Toc207872451"/>
      <w:r>
        <w:t>2</w:t>
      </w:r>
      <w:r w:rsidR="0051402E" w:rsidRPr="00C20B0E">
        <w:t xml:space="preserve">.2 </w:t>
      </w:r>
      <w:r w:rsidR="00C20B0E" w:rsidRPr="00C20B0E">
        <w:rPr>
          <w:rStyle w:val="Strong"/>
          <w:b w:val="0"/>
          <w:bCs w:val="0"/>
        </w:rPr>
        <w:t>Descriptive Task Summaries</w:t>
      </w:r>
      <w:bookmarkEnd w:id="7"/>
    </w:p>
    <w:p w14:paraId="64D360D5" w14:textId="63BCE78C" w:rsidR="00265D06" w:rsidRDefault="00265D06" w:rsidP="00265D06">
      <w:r>
        <w:t xml:space="preserve">Treat task summaries and descriptions like code comments. Replace generic defaults with meaningful, contextual descriptions (e.g., </w:t>
      </w:r>
      <w:r>
        <w:rPr>
          <w:rStyle w:val="Emphasis"/>
        </w:rPr>
        <w:t>“Query data using dot/bracket notation…”</w:t>
      </w:r>
      <w:r>
        <w:t xml:space="preserve"> rather than </w:t>
      </w:r>
      <w:r>
        <w:rPr>
          <w:rStyle w:val="Emphasis"/>
        </w:rPr>
        <w:t>“Query Workflow Names”</w:t>
      </w:r>
      <w:r>
        <w:t>). Use clear task names for better job visibility</w:t>
      </w:r>
      <w:r w:rsidR="00B14DD1">
        <w:t>.</w:t>
      </w:r>
    </w:p>
    <w:p w14:paraId="3821FCE0" w14:textId="342B2991" w:rsidR="00124CF7" w:rsidRDefault="00BA71BB" w:rsidP="004A68F6">
      <w:pPr>
        <w:pStyle w:val="Heading2"/>
      </w:pPr>
      <w:bookmarkStart w:id="8" w:name="_Toc207872452"/>
      <w:r>
        <w:t>2</w:t>
      </w:r>
      <w:r w:rsidR="00124CF7">
        <w:t xml:space="preserve">.3 </w:t>
      </w:r>
      <w:r w:rsidR="004A68F6">
        <w:t xml:space="preserve">Job Variable and </w:t>
      </w:r>
      <w:r w:rsidR="00083FA0">
        <w:t>Assets Naming</w:t>
      </w:r>
      <w:r w:rsidR="0080213C">
        <w:t xml:space="preserve"> Convention</w:t>
      </w:r>
      <w:bookmarkEnd w:id="8"/>
    </w:p>
    <w:p w14:paraId="1C2F6CCD" w14:textId="3F78E4A4" w:rsidR="002C6582" w:rsidRDefault="00E147AC" w:rsidP="005322FB">
      <w:r>
        <w:t>Establishes standards for managing job variables, handling child-to-parent workflow dependencies,</w:t>
      </w:r>
      <w:r w:rsidR="002C6582">
        <w:t xml:space="preserve"> and the naming convention for the objects in the Itenial workflow. </w:t>
      </w:r>
      <w:r w:rsidR="00747238">
        <w:t xml:space="preserve">To ensure consistency and alignment with industry-recognized practices, the SCE Digital Grid Services (DGS) team has adopted the </w:t>
      </w:r>
      <w:r w:rsidR="00747238">
        <w:rPr>
          <w:rStyle w:val="Strong"/>
        </w:rPr>
        <w:t>Industrial Naming Standard</w:t>
      </w:r>
      <w:r w:rsidR="00747238">
        <w:t xml:space="preserve">, specifically </w:t>
      </w:r>
      <w:r w:rsidR="00747238">
        <w:rPr>
          <w:rStyle w:val="Strong"/>
        </w:rPr>
        <w:t>Upper Camel Case (Pascal</w:t>
      </w:r>
      <w:r w:rsidR="00190C0B">
        <w:rPr>
          <w:rStyle w:val="Strong"/>
        </w:rPr>
        <w:t xml:space="preserve"> </w:t>
      </w:r>
      <w:r w:rsidR="00747238">
        <w:rPr>
          <w:rStyle w:val="Strong"/>
        </w:rPr>
        <w:t>Case)</w:t>
      </w:r>
      <w:r w:rsidR="00747238">
        <w:t>, for all workflow objects.</w:t>
      </w:r>
      <w:r w:rsidR="004D7F08">
        <w:t xml:space="preserve">  Camel case is </w:t>
      </w:r>
      <w:r w:rsidR="004D7F08" w:rsidRPr="004D7F08">
        <w:t>a way to write multi-word identifiers in programming without spaces or hyphens, using capitalization to separate the words.</w:t>
      </w:r>
    </w:p>
    <w:p w14:paraId="186D1963" w14:textId="45C52E05" w:rsidR="00305BBD" w:rsidRDefault="00305BBD" w:rsidP="00EC7D6B">
      <w:pPr>
        <w:pStyle w:val="Heading3"/>
      </w:pPr>
      <w:bookmarkStart w:id="9" w:name="_Toc207872453"/>
      <w:r>
        <w:t>2</w:t>
      </w:r>
      <w:r w:rsidR="00EC7D6B">
        <w:t>.3.1</w:t>
      </w:r>
      <w:r w:rsidR="002A1993">
        <w:t xml:space="preserve"> </w:t>
      </w:r>
      <w:r w:rsidR="00EC7D6B">
        <w:t>Workflow variables</w:t>
      </w:r>
      <w:bookmarkEnd w:id="9"/>
    </w:p>
    <w:p w14:paraId="24F7F738" w14:textId="3FCFAAD2" w:rsidR="00EC7D6B" w:rsidRDefault="00905C81" w:rsidP="00EC7D6B">
      <w:r w:rsidRPr="00905C81">
        <w:rPr>
          <w:noProof/>
        </w:rPr>
        <w:drawing>
          <wp:inline distT="0" distB="0" distL="0" distR="0" wp14:anchorId="1CD90153" wp14:editId="4C14881F">
            <wp:extent cx="4410691" cy="1571844"/>
            <wp:effectExtent l="0" t="0" r="9525" b="0"/>
            <wp:docPr id="84133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33029" name=""/>
                    <pic:cNvPicPr/>
                  </pic:nvPicPr>
                  <pic:blipFill>
                    <a:blip r:embed="rId13"/>
                    <a:stretch>
                      <a:fillRect/>
                    </a:stretch>
                  </pic:blipFill>
                  <pic:spPr>
                    <a:xfrm>
                      <a:off x="0" y="0"/>
                      <a:ext cx="4410691" cy="1571844"/>
                    </a:xfrm>
                    <a:prstGeom prst="rect">
                      <a:avLst/>
                    </a:prstGeom>
                  </pic:spPr>
                </pic:pic>
              </a:graphicData>
            </a:graphic>
          </wp:inline>
        </w:drawing>
      </w:r>
    </w:p>
    <w:p w14:paraId="0C65B0A8" w14:textId="197F67F1" w:rsidR="002A1993" w:rsidRPr="00EC7D6B" w:rsidRDefault="002A1993" w:rsidP="00B0288C">
      <w:pPr>
        <w:pStyle w:val="Heading3"/>
      </w:pPr>
      <w:bookmarkStart w:id="10" w:name="_Toc207872454"/>
      <w:r>
        <w:t xml:space="preserve">2.3.2 </w:t>
      </w:r>
      <w:r w:rsidR="00B0288C">
        <w:t>Transformer</w:t>
      </w:r>
      <w:r>
        <w:t xml:space="preserve"> Nam</w:t>
      </w:r>
      <w:r w:rsidR="00B0288C">
        <w:t>ing Conventions</w:t>
      </w:r>
      <w:bookmarkEnd w:id="10"/>
      <w:r w:rsidR="00B0288C">
        <w:t xml:space="preserve"> </w:t>
      </w:r>
    </w:p>
    <w:p w14:paraId="3E5DCBA9" w14:textId="77777777" w:rsidR="00103A35" w:rsidRPr="00103A35" w:rsidRDefault="00103A35" w:rsidP="00103A35"/>
    <w:p w14:paraId="66398531" w14:textId="16AF512D" w:rsidR="00BF3394" w:rsidRDefault="00103A35" w:rsidP="005322FB">
      <w:r w:rsidRPr="00103A35">
        <w:rPr>
          <w:noProof/>
        </w:rPr>
        <w:drawing>
          <wp:inline distT="0" distB="0" distL="0" distR="0" wp14:anchorId="5EC9DC0D" wp14:editId="0E08AC2E">
            <wp:extent cx="3400297" cy="1235675"/>
            <wp:effectExtent l="0" t="0" r="3810" b="0"/>
            <wp:docPr id="84265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58102" name=""/>
                    <pic:cNvPicPr/>
                  </pic:nvPicPr>
                  <pic:blipFill>
                    <a:blip r:embed="rId14"/>
                    <a:stretch>
                      <a:fillRect/>
                    </a:stretch>
                  </pic:blipFill>
                  <pic:spPr>
                    <a:xfrm>
                      <a:off x="0" y="0"/>
                      <a:ext cx="3504524" cy="1273551"/>
                    </a:xfrm>
                    <a:prstGeom prst="rect">
                      <a:avLst/>
                    </a:prstGeom>
                  </pic:spPr>
                </pic:pic>
              </a:graphicData>
            </a:graphic>
          </wp:inline>
        </w:drawing>
      </w:r>
    </w:p>
    <w:p w14:paraId="76AA753B" w14:textId="77777777" w:rsidR="007C364F" w:rsidRDefault="007C364F" w:rsidP="005322FB"/>
    <w:p w14:paraId="7C7D4699" w14:textId="77777777" w:rsidR="00D83423" w:rsidRDefault="00D83423" w:rsidP="005322FB"/>
    <w:p w14:paraId="23EE3E51" w14:textId="195E4E2B" w:rsidR="00E147AC" w:rsidRDefault="00BA71BB" w:rsidP="00E147AC">
      <w:pPr>
        <w:pStyle w:val="Heading2"/>
      </w:pPr>
      <w:bookmarkStart w:id="11" w:name="_Toc207872455"/>
      <w:r>
        <w:t>2</w:t>
      </w:r>
      <w:r w:rsidR="00E147AC">
        <w:t>.4 Error Handling</w:t>
      </w:r>
      <w:bookmarkEnd w:id="11"/>
      <w:r w:rsidR="00E147AC">
        <w:t xml:space="preserve"> </w:t>
      </w:r>
    </w:p>
    <w:p w14:paraId="13F5EEB9" w14:textId="2EB7DC26" w:rsidR="00497548" w:rsidRPr="00497548" w:rsidRDefault="00497548" w:rsidP="00497548">
      <w:pPr>
        <w:rPr>
          <w:lang w:eastAsia="zh-CN"/>
        </w:rPr>
      </w:pPr>
      <w:r>
        <w:t xml:space="preserve">Using </w:t>
      </w:r>
      <w:r w:rsidR="005B26C6">
        <w:t>Work Status Tr</w:t>
      </w:r>
      <w:r w:rsidR="001573FC">
        <w:t xml:space="preserve">acker to </w:t>
      </w:r>
      <w:r w:rsidR="003F36B8">
        <w:t>handle to</w:t>
      </w:r>
    </w:p>
    <w:p w14:paraId="5DCDCA56" w14:textId="77777777" w:rsidR="00497548" w:rsidRPr="00497548" w:rsidRDefault="00497548" w:rsidP="00497548"/>
    <w:p w14:paraId="0CA8125A" w14:textId="077A24DC" w:rsidR="004219A9" w:rsidRDefault="00BA71BB" w:rsidP="00316309">
      <w:pPr>
        <w:pStyle w:val="Heading2"/>
      </w:pPr>
      <w:bookmarkStart w:id="12" w:name="_Toc207872456"/>
      <w:r>
        <w:t>2</w:t>
      </w:r>
      <w:r w:rsidR="00316309">
        <w:t>.5 Readme</w:t>
      </w:r>
      <w:bookmarkEnd w:id="12"/>
    </w:p>
    <w:p w14:paraId="532BAB45" w14:textId="63CDE1C4" w:rsidR="004B5373" w:rsidRPr="004B5373" w:rsidRDefault="004B5373" w:rsidP="00637A23">
      <w:pPr>
        <w:pStyle w:val="Heading2"/>
      </w:pPr>
      <w:bookmarkStart w:id="13" w:name="_Toc207872457"/>
      <w:r>
        <w:t>2.6</w:t>
      </w:r>
      <w:r w:rsidR="00637A23">
        <w:t xml:space="preserve"> ChildJob Object</w:t>
      </w:r>
      <w:bookmarkEnd w:id="13"/>
    </w:p>
    <w:p w14:paraId="4830D017" w14:textId="77777777" w:rsidR="004219A9" w:rsidRDefault="004219A9" w:rsidP="004219A9"/>
    <w:p w14:paraId="42F1BE6C" w14:textId="77777777" w:rsidR="004219A9" w:rsidRDefault="004219A9" w:rsidP="004219A9"/>
    <w:p w14:paraId="0FCF5486" w14:textId="77777777" w:rsidR="004219A9" w:rsidRDefault="004219A9" w:rsidP="004219A9"/>
    <w:p w14:paraId="7D2A4D29" w14:textId="77777777" w:rsidR="004219A9" w:rsidRDefault="004219A9" w:rsidP="004219A9"/>
    <w:p w14:paraId="1C87B673" w14:textId="77777777" w:rsidR="004219A9" w:rsidRDefault="004219A9" w:rsidP="004219A9"/>
    <w:p w14:paraId="5717A7F0" w14:textId="765780CC" w:rsidR="004219A9" w:rsidRDefault="00677ABA" w:rsidP="00F31FC5">
      <w:pPr>
        <w:pStyle w:val="Heading1"/>
      </w:pPr>
      <w:bookmarkStart w:id="14" w:name="_Toc207872458"/>
      <w:r>
        <w:t>3</w:t>
      </w:r>
      <w:r w:rsidR="00F31FC5">
        <w:t>. BMC Helix and Itenial</w:t>
      </w:r>
      <w:bookmarkEnd w:id="14"/>
    </w:p>
    <w:p w14:paraId="2FF31C25" w14:textId="2BA846FE" w:rsidR="006C3F06" w:rsidRPr="006C3F06" w:rsidRDefault="00120813" w:rsidP="00120813">
      <w:r w:rsidRPr="00120813">
        <w:t>BMC Helix is an enterprise IT service and operations management platform built by BMC Software. It’s widely used by large organizations (including utilities like SCE)</w:t>
      </w:r>
    </w:p>
    <w:sectPr w:rsidR="006C3F06" w:rsidRPr="006C3F0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6C427" w14:textId="77777777" w:rsidR="00F93761" w:rsidRDefault="00F93761" w:rsidP="00A93D84">
      <w:pPr>
        <w:spacing w:after="0" w:line="240" w:lineRule="auto"/>
      </w:pPr>
      <w:r>
        <w:separator/>
      </w:r>
    </w:p>
  </w:endnote>
  <w:endnote w:type="continuationSeparator" w:id="0">
    <w:p w14:paraId="46C7A02C" w14:textId="77777777" w:rsidR="00F93761" w:rsidRDefault="00F93761" w:rsidP="00A93D84">
      <w:pPr>
        <w:spacing w:after="0" w:line="240" w:lineRule="auto"/>
      </w:pPr>
      <w:r>
        <w:continuationSeparator/>
      </w:r>
    </w:p>
  </w:endnote>
  <w:endnote w:type="continuationNotice" w:id="1">
    <w:p w14:paraId="26AB8B2A" w14:textId="77777777" w:rsidR="00F93761" w:rsidRDefault="00F937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295246"/>
      <w:docPartObj>
        <w:docPartGallery w:val="Page Numbers (Bottom of Page)"/>
        <w:docPartUnique/>
      </w:docPartObj>
    </w:sdtPr>
    <w:sdtEndPr>
      <w:rPr>
        <w:noProof/>
      </w:rPr>
    </w:sdtEndPr>
    <w:sdtContent>
      <w:p w14:paraId="637C97AE" w14:textId="42CAE48F" w:rsidR="00A93D84" w:rsidRDefault="00A93D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BC631D" w14:textId="77777777" w:rsidR="00A93D84" w:rsidRDefault="00A93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3471B" w14:textId="77777777" w:rsidR="00F93761" w:rsidRDefault="00F93761" w:rsidP="00A93D84">
      <w:pPr>
        <w:spacing w:after="0" w:line="240" w:lineRule="auto"/>
      </w:pPr>
      <w:r>
        <w:separator/>
      </w:r>
    </w:p>
  </w:footnote>
  <w:footnote w:type="continuationSeparator" w:id="0">
    <w:p w14:paraId="4196B49A" w14:textId="77777777" w:rsidR="00F93761" w:rsidRDefault="00F93761" w:rsidP="00A93D84">
      <w:pPr>
        <w:spacing w:after="0" w:line="240" w:lineRule="auto"/>
      </w:pPr>
      <w:r>
        <w:continuationSeparator/>
      </w:r>
    </w:p>
  </w:footnote>
  <w:footnote w:type="continuationNotice" w:id="1">
    <w:p w14:paraId="577E41A5" w14:textId="77777777" w:rsidR="00F93761" w:rsidRDefault="00F937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0C86"/>
    <w:multiLevelType w:val="hybridMultilevel"/>
    <w:tmpl w:val="78F6FFE8"/>
    <w:lvl w:ilvl="0" w:tplc="2FF05422">
      <w:start w:val="1"/>
      <w:numFmt w:val="decimal"/>
      <w:lvlText w:val="%1."/>
      <w:lvlJc w:val="left"/>
      <w:pPr>
        <w:ind w:left="720" w:hanging="360"/>
      </w:pPr>
    </w:lvl>
    <w:lvl w:ilvl="1" w:tplc="ECFC0170">
      <w:start w:val="1"/>
      <w:numFmt w:val="lowerLetter"/>
      <w:lvlText w:val="%2."/>
      <w:lvlJc w:val="left"/>
      <w:pPr>
        <w:ind w:left="1440" w:hanging="360"/>
      </w:pPr>
    </w:lvl>
    <w:lvl w:ilvl="2" w:tplc="5FD83598">
      <w:start w:val="1"/>
      <w:numFmt w:val="lowerRoman"/>
      <w:lvlText w:val="%3."/>
      <w:lvlJc w:val="right"/>
      <w:pPr>
        <w:ind w:left="2160" w:hanging="180"/>
      </w:pPr>
    </w:lvl>
    <w:lvl w:ilvl="3" w:tplc="5CB04338">
      <w:start w:val="1"/>
      <w:numFmt w:val="decimal"/>
      <w:lvlText w:val="%4."/>
      <w:lvlJc w:val="left"/>
      <w:pPr>
        <w:ind w:left="2880" w:hanging="360"/>
      </w:pPr>
    </w:lvl>
    <w:lvl w:ilvl="4" w:tplc="18FA8612">
      <w:start w:val="1"/>
      <w:numFmt w:val="lowerLetter"/>
      <w:lvlText w:val="%5."/>
      <w:lvlJc w:val="left"/>
      <w:pPr>
        <w:ind w:left="3600" w:hanging="360"/>
      </w:pPr>
    </w:lvl>
    <w:lvl w:ilvl="5" w:tplc="DB2A8BEC">
      <w:start w:val="1"/>
      <w:numFmt w:val="lowerRoman"/>
      <w:lvlText w:val="%6."/>
      <w:lvlJc w:val="right"/>
      <w:pPr>
        <w:ind w:left="4320" w:hanging="180"/>
      </w:pPr>
    </w:lvl>
    <w:lvl w:ilvl="6" w:tplc="5B044032">
      <w:start w:val="1"/>
      <w:numFmt w:val="decimal"/>
      <w:lvlText w:val="%7."/>
      <w:lvlJc w:val="left"/>
      <w:pPr>
        <w:ind w:left="5040" w:hanging="360"/>
      </w:pPr>
    </w:lvl>
    <w:lvl w:ilvl="7" w:tplc="1674BB02">
      <w:start w:val="1"/>
      <w:numFmt w:val="lowerLetter"/>
      <w:lvlText w:val="%8."/>
      <w:lvlJc w:val="left"/>
      <w:pPr>
        <w:ind w:left="5760" w:hanging="360"/>
      </w:pPr>
    </w:lvl>
    <w:lvl w:ilvl="8" w:tplc="C4B26A5C">
      <w:start w:val="1"/>
      <w:numFmt w:val="lowerRoman"/>
      <w:lvlText w:val="%9."/>
      <w:lvlJc w:val="right"/>
      <w:pPr>
        <w:ind w:left="6480" w:hanging="180"/>
      </w:pPr>
    </w:lvl>
  </w:abstractNum>
  <w:abstractNum w:abstractNumId="1" w15:restartNumberingAfterBreak="0">
    <w:nsid w:val="3F0E3FD2"/>
    <w:multiLevelType w:val="multilevel"/>
    <w:tmpl w:val="2F60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E71BA"/>
    <w:multiLevelType w:val="multilevel"/>
    <w:tmpl w:val="0442C940"/>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6564315">
    <w:abstractNumId w:val="2"/>
  </w:num>
  <w:num w:numId="2" w16cid:durableId="152527528">
    <w:abstractNumId w:val="0"/>
  </w:num>
  <w:num w:numId="3" w16cid:durableId="1359507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93A659"/>
    <w:rsid w:val="0000061B"/>
    <w:rsid w:val="00003FF7"/>
    <w:rsid w:val="0001371C"/>
    <w:rsid w:val="000207B9"/>
    <w:rsid w:val="000274CE"/>
    <w:rsid w:val="000349DE"/>
    <w:rsid w:val="000721A3"/>
    <w:rsid w:val="00076A96"/>
    <w:rsid w:val="00077AAA"/>
    <w:rsid w:val="0008257B"/>
    <w:rsid w:val="00083FA0"/>
    <w:rsid w:val="00090A9C"/>
    <w:rsid w:val="000942E1"/>
    <w:rsid w:val="000A44B5"/>
    <w:rsid w:val="000A459C"/>
    <w:rsid w:val="000B1FD2"/>
    <w:rsid w:val="000B4E2A"/>
    <w:rsid w:val="000D1471"/>
    <w:rsid w:val="000D3C4B"/>
    <w:rsid w:val="000E16AC"/>
    <w:rsid w:val="000F00C1"/>
    <w:rsid w:val="000F2393"/>
    <w:rsid w:val="000F2579"/>
    <w:rsid w:val="00100DCE"/>
    <w:rsid w:val="00103A35"/>
    <w:rsid w:val="00117BE7"/>
    <w:rsid w:val="00120813"/>
    <w:rsid w:val="001218F2"/>
    <w:rsid w:val="00124CF7"/>
    <w:rsid w:val="00136A66"/>
    <w:rsid w:val="00146CAA"/>
    <w:rsid w:val="001573FC"/>
    <w:rsid w:val="00165D4E"/>
    <w:rsid w:val="00172749"/>
    <w:rsid w:val="00190C0B"/>
    <w:rsid w:val="001B5026"/>
    <w:rsid w:val="001C225B"/>
    <w:rsid w:val="001D3B25"/>
    <w:rsid w:val="002174EE"/>
    <w:rsid w:val="00223336"/>
    <w:rsid w:val="00244B14"/>
    <w:rsid w:val="0025022A"/>
    <w:rsid w:val="00265D06"/>
    <w:rsid w:val="0026603F"/>
    <w:rsid w:val="00293265"/>
    <w:rsid w:val="002A1993"/>
    <w:rsid w:val="002A32D0"/>
    <w:rsid w:val="002A7F83"/>
    <w:rsid w:val="002C6582"/>
    <w:rsid w:val="002E1B9F"/>
    <w:rsid w:val="002F17AC"/>
    <w:rsid w:val="002F4E72"/>
    <w:rsid w:val="00305BBD"/>
    <w:rsid w:val="00315567"/>
    <w:rsid w:val="00316309"/>
    <w:rsid w:val="00321B89"/>
    <w:rsid w:val="0032293B"/>
    <w:rsid w:val="003231AE"/>
    <w:rsid w:val="00323BB4"/>
    <w:rsid w:val="00344AC1"/>
    <w:rsid w:val="00363808"/>
    <w:rsid w:val="00367CE0"/>
    <w:rsid w:val="003A4105"/>
    <w:rsid w:val="003B69AE"/>
    <w:rsid w:val="003B765A"/>
    <w:rsid w:val="003C288F"/>
    <w:rsid w:val="003C2F91"/>
    <w:rsid w:val="003F25BE"/>
    <w:rsid w:val="003F2BA1"/>
    <w:rsid w:val="003F36B8"/>
    <w:rsid w:val="00403AC4"/>
    <w:rsid w:val="004053F8"/>
    <w:rsid w:val="0041259C"/>
    <w:rsid w:val="004219A9"/>
    <w:rsid w:val="00455670"/>
    <w:rsid w:val="0047397D"/>
    <w:rsid w:val="004830FF"/>
    <w:rsid w:val="00487568"/>
    <w:rsid w:val="00497548"/>
    <w:rsid w:val="004A1CC6"/>
    <w:rsid w:val="004A68F6"/>
    <w:rsid w:val="004B5373"/>
    <w:rsid w:val="004C1F5A"/>
    <w:rsid w:val="004D1DD3"/>
    <w:rsid w:val="004D7F08"/>
    <w:rsid w:val="004E5638"/>
    <w:rsid w:val="004F5E3C"/>
    <w:rsid w:val="00500624"/>
    <w:rsid w:val="00507739"/>
    <w:rsid w:val="00512ACA"/>
    <w:rsid w:val="00512E64"/>
    <w:rsid w:val="0051402E"/>
    <w:rsid w:val="00514CA5"/>
    <w:rsid w:val="005155EC"/>
    <w:rsid w:val="005170E1"/>
    <w:rsid w:val="005322FB"/>
    <w:rsid w:val="00535CD0"/>
    <w:rsid w:val="005467A9"/>
    <w:rsid w:val="00552CBD"/>
    <w:rsid w:val="00566EB3"/>
    <w:rsid w:val="00582B87"/>
    <w:rsid w:val="005A430B"/>
    <w:rsid w:val="005B26C6"/>
    <w:rsid w:val="005E3A16"/>
    <w:rsid w:val="005E7C20"/>
    <w:rsid w:val="005F3F19"/>
    <w:rsid w:val="005F65E7"/>
    <w:rsid w:val="005F7DCF"/>
    <w:rsid w:val="0061533B"/>
    <w:rsid w:val="006277AA"/>
    <w:rsid w:val="00631B49"/>
    <w:rsid w:val="006365F3"/>
    <w:rsid w:val="00637A23"/>
    <w:rsid w:val="00664BEE"/>
    <w:rsid w:val="00677ABA"/>
    <w:rsid w:val="00680D7F"/>
    <w:rsid w:val="00681CC1"/>
    <w:rsid w:val="00682A28"/>
    <w:rsid w:val="00690B24"/>
    <w:rsid w:val="00695364"/>
    <w:rsid w:val="00697EAA"/>
    <w:rsid w:val="006A52E4"/>
    <w:rsid w:val="006B3F01"/>
    <w:rsid w:val="006B5CB2"/>
    <w:rsid w:val="006C2C8C"/>
    <w:rsid w:val="006C3F06"/>
    <w:rsid w:val="006D4EDB"/>
    <w:rsid w:val="006E7B09"/>
    <w:rsid w:val="006F0740"/>
    <w:rsid w:val="006F52AB"/>
    <w:rsid w:val="00705C51"/>
    <w:rsid w:val="007066C4"/>
    <w:rsid w:val="00747238"/>
    <w:rsid w:val="00751C87"/>
    <w:rsid w:val="0075358F"/>
    <w:rsid w:val="00765A05"/>
    <w:rsid w:val="007A036C"/>
    <w:rsid w:val="007B316A"/>
    <w:rsid w:val="007C02D4"/>
    <w:rsid w:val="007C364F"/>
    <w:rsid w:val="007F5C31"/>
    <w:rsid w:val="0080213C"/>
    <w:rsid w:val="00802753"/>
    <w:rsid w:val="00815ED7"/>
    <w:rsid w:val="00822A50"/>
    <w:rsid w:val="00890C85"/>
    <w:rsid w:val="00892DE9"/>
    <w:rsid w:val="00895C95"/>
    <w:rsid w:val="008A1460"/>
    <w:rsid w:val="008A1B7B"/>
    <w:rsid w:val="008A6219"/>
    <w:rsid w:val="008C5186"/>
    <w:rsid w:val="008C5DD4"/>
    <w:rsid w:val="008C63F3"/>
    <w:rsid w:val="008D43D7"/>
    <w:rsid w:val="008D61D1"/>
    <w:rsid w:val="008D7F8A"/>
    <w:rsid w:val="008E04D7"/>
    <w:rsid w:val="008E0897"/>
    <w:rsid w:val="008E7A29"/>
    <w:rsid w:val="008F1575"/>
    <w:rsid w:val="00905C81"/>
    <w:rsid w:val="00912B47"/>
    <w:rsid w:val="00912F95"/>
    <w:rsid w:val="0093622D"/>
    <w:rsid w:val="00987DDA"/>
    <w:rsid w:val="00995A82"/>
    <w:rsid w:val="009A0C40"/>
    <w:rsid w:val="009B186C"/>
    <w:rsid w:val="009B631F"/>
    <w:rsid w:val="009C1D09"/>
    <w:rsid w:val="009C225A"/>
    <w:rsid w:val="009D6F17"/>
    <w:rsid w:val="009E3B25"/>
    <w:rsid w:val="00A023EB"/>
    <w:rsid w:val="00A1489B"/>
    <w:rsid w:val="00A377D9"/>
    <w:rsid w:val="00A64C74"/>
    <w:rsid w:val="00A71501"/>
    <w:rsid w:val="00A72ACE"/>
    <w:rsid w:val="00A93D84"/>
    <w:rsid w:val="00AA060A"/>
    <w:rsid w:val="00AA3357"/>
    <w:rsid w:val="00AA6C68"/>
    <w:rsid w:val="00AB05D9"/>
    <w:rsid w:val="00AC1CA3"/>
    <w:rsid w:val="00AD799B"/>
    <w:rsid w:val="00AF0660"/>
    <w:rsid w:val="00AF669E"/>
    <w:rsid w:val="00B023C7"/>
    <w:rsid w:val="00B0288C"/>
    <w:rsid w:val="00B14DD1"/>
    <w:rsid w:val="00B24D21"/>
    <w:rsid w:val="00B46C92"/>
    <w:rsid w:val="00B56116"/>
    <w:rsid w:val="00B771AD"/>
    <w:rsid w:val="00B8165E"/>
    <w:rsid w:val="00B96287"/>
    <w:rsid w:val="00B97C19"/>
    <w:rsid w:val="00BA22EF"/>
    <w:rsid w:val="00BA2302"/>
    <w:rsid w:val="00BA71BB"/>
    <w:rsid w:val="00BF11F8"/>
    <w:rsid w:val="00BF3394"/>
    <w:rsid w:val="00BF4824"/>
    <w:rsid w:val="00C016A4"/>
    <w:rsid w:val="00C055FA"/>
    <w:rsid w:val="00C1231A"/>
    <w:rsid w:val="00C13A7E"/>
    <w:rsid w:val="00C20B0E"/>
    <w:rsid w:val="00C2468E"/>
    <w:rsid w:val="00C43951"/>
    <w:rsid w:val="00C44779"/>
    <w:rsid w:val="00C55D3A"/>
    <w:rsid w:val="00C614A0"/>
    <w:rsid w:val="00C61DA1"/>
    <w:rsid w:val="00CC2A21"/>
    <w:rsid w:val="00CC2BA1"/>
    <w:rsid w:val="00CC446A"/>
    <w:rsid w:val="00CC447A"/>
    <w:rsid w:val="00CD19A6"/>
    <w:rsid w:val="00CE1604"/>
    <w:rsid w:val="00CE2889"/>
    <w:rsid w:val="00CE6EEB"/>
    <w:rsid w:val="00CF48D7"/>
    <w:rsid w:val="00D15AA2"/>
    <w:rsid w:val="00D24E23"/>
    <w:rsid w:val="00D346E2"/>
    <w:rsid w:val="00D44244"/>
    <w:rsid w:val="00D54479"/>
    <w:rsid w:val="00D723B7"/>
    <w:rsid w:val="00D771F1"/>
    <w:rsid w:val="00D83423"/>
    <w:rsid w:val="00D95F37"/>
    <w:rsid w:val="00DB5FB1"/>
    <w:rsid w:val="00DC1219"/>
    <w:rsid w:val="00DC7406"/>
    <w:rsid w:val="00DD3C21"/>
    <w:rsid w:val="00DD3EB9"/>
    <w:rsid w:val="00E147AC"/>
    <w:rsid w:val="00E361DD"/>
    <w:rsid w:val="00E64D14"/>
    <w:rsid w:val="00E72B17"/>
    <w:rsid w:val="00E75F73"/>
    <w:rsid w:val="00E82E04"/>
    <w:rsid w:val="00E90464"/>
    <w:rsid w:val="00E90B4F"/>
    <w:rsid w:val="00E922AB"/>
    <w:rsid w:val="00EB7571"/>
    <w:rsid w:val="00EC0108"/>
    <w:rsid w:val="00EC6704"/>
    <w:rsid w:val="00EC7D6B"/>
    <w:rsid w:val="00EC7F20"/>
    <w:rsid w:val="00ED27C9"/>
    <w:rsid w:val="00EF2E61"/>
    <w:rsid w:val="00EF3E0E"/>
    <w:rsid w:val="00F26F15"/>
    <w:rsid w:val="00F30A44"/>
    <w:rsid w:val="00F31FC5"/>
    <w:rsid w:val="00F348F4"/>
    <w:rsid w:val="00F444D3"/>
    <w:rsid w:val="00F45FBE"/>
    <w:rsid w:val="00F55751"/>
    <w:rsid w:val="00F91E0A"/>
    <w:rsid w:val="00F93761"/>
    <w:rsid w:val="00F966E2"/>
    <w:rsid w:val="00FA337E"/>
    <w:rsid w:val="00FB04F0"/>
    <w:rsid w:val="00FB7EEF"/>
    <w:rsid w:val="00FD0019"/>
    <w:rsid w:val="00FF1612"/>
    <w:rsid w:val="00FF5A6C"/>
    <w:rsid w:val="00FF637D"/>
    <w:rsid w:val="091AFCDE"/>
    <w:rsid w:val="0FC2E304"/>
    <w:rsid w:val="178C72DA"/>
    <w:rsid w:val="1B09FE0C"/>
    <w:rsid w:val="1DC090D9"/>
    <w:rsid w:val="1F478B48"/>
    <w:rsid w:val="1FA6C323"/>
    <w:rsid w:val="312F9E78"/>
    <w:rsid w:val="479688E4"/>
    <w:rsid w:val="48F532C0"/>
    <w:rsid w:val="4A93A659"/>
    <w:rsid w:val="55E72BCA"/>
    <w:rsid w:val="56B5D982"/>
    <w:rsid w:val="613DA316"/>
    <w:rsid w:val="650A7CAF"/>
    <w:rsid w:val="665893B5"/>
    <w:rsid w:val="711DD179"/>
    <w:rsid w:val="7FF749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3A659"/>
  <w15:chartTrackingRefBased/>
  <w15:docId w15:val="{E1063AAD-3262-4E73-BCBF-9D57116B8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711DD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711DD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186"/>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11DD179"/>
    <w:pPr>
      <w:ind w:left="720"/>
      <w:contextualSpacing/>
    </w:pPr>
  </w:style>
  <w:style w:type="character" w:styleId="Hyperlink">
    <w:name w:val="Hyperlink"/>
    <w:basedOn w:val="DefaultParagraphFont"/>
    <w:uiPriority w:val="99"/>
    <w:unhideWhenUsed/>
    <w:rsid w:val="711DD179"/>
    <w:rPr>
      <w:color w:val="467886"/>
      <w:u w:val="single"/>
    </w:rPr>
  </w:style>
  <w:style w:type="paragraph" w:styleId="TOC1">
    <w:name w:val="toc 1"/>
    <w:basedOn w:val="Normal"/>
    <w:next w:val="Normal"/>
    <w:uiPriority w:val="39"/>
    <w:unhideWhenUsed/>
    <w:rsid w:val="613DA316"/>
    <w:pPr>
      <w:spacing w:after="100"/>
    </w:pPr>
  </w:style>
  <w:style w:type="paragraph" w:styleId="TOC2">
    <w:name w:val="toc 2"/>
    <w:basedOn w:val="Normal"/>
    <w:next w:val="Normal"/>
    <w:uiPriority w:val="39"/>
    <w:unhideWhenUsed/>
    <w:rsid w:val="613DA316"/>
    <w:pPr>
      <w:spacing w:after="100"/>
      <w:ind w:left="220"/>
    </w:pPr>
  </w:style>
  <w:style w:type="character" w:customStyle="1" w:styleId="Heading3Char">
    <w:name w:val="Heading 3 Char"/>
    <w:basedOn w:val="DefaultParagraphFont"/>
    <w:link w:val="Heading3"/>
    <w:uiPriority w:val="9"/>
    <w:rsid w:val="008C5186"/>
    <w:rPr>
      <w:rFonts w:asciiTheme="majorHAnsi" w:eastAsiaTheme="majorEastAsia" w:hAnsiTheme="majorHAnsi" w:cstheme="majorBidi"/>
      <w:color w:val="0A2F40" w:themeColor="accent1" w:themeShade="7F"/>
    </w:rPr>
  </w:style>
  <w:style w:type="character" w:styleId="CommentReference">
    <w:name w:val="annotation reference"/>
    <w:basedOn w:val="DefaultParagraphFont"/>
    <w:uiPriority w:val="99"/>
    <w:semiHidden/>
    <w:unhideWhenUsed/>
    <w:rsid w:val="000F00C1"/>
    <w:rPr>
      <w:sz w:val="16"/>
      <w:szCs w:val="16"/>
    </w:rPr>
  </w:style>
  <w:style w:type="paragraph" w:styleId="CommentText">
    <w:name w:val="annotation text"/>
    <w:basedOn w:val="Normal"/>
    <w:link w:val="CommentTextChar"/>
    <w:uiPriority w:val="99"/>
    <w:unhideWhenUsed/>
    <w:rsid w:val="000F00C1"/>
    <w:pPr>
      <w:spacing w:line="240" w:lineRule="auto"/>
    </w:pPr>
    <w:rPr>
      <w:sz w:val="20"/>
      <w:szCs w:val="20"/>
    </w:rPr>
  </w:style>
  <w:style w:type="character" w:customStyle="1" w:styleId="CommentTextChar">
    <w:name w:val="Comment Text Char"/>
    <w:basedOn w:val="DefaultParagraphFont"/>
    <w:link w:val="CommentText"/>
    <w:uiPriority w:val="99"/>
    <w:rsid w:val="000F00C1"/>
    <w:rPr>
      <w:sz w:val="20"/>
      <w:szCs w:val="20"/>
    </w:rPr>
  </w:style>
  <w:style w:type="paragraph" w:styleId="CommentSubject">
    <w:name w:val="annotation subject"/>
    <w:basedOn w:val="CommentText"/>
    <w:next w:val="CommentText"/>
    <w:link w:val="CommentSubjectChar"/>
    <w:uiPriority w:val="99"/>
    <w:semiHidden/>
    <w:unhideWhenUsed/>
    <w:rsid w:val="000F00C1"/>
    <w:rPr>
      <w:b/>
      <w:bCs/>
    </w:rPr>
  </w:style>
  <w:style w:type="character" w:customStyle="1" w:styleId="CommentSubjectChar">
    <w:name w:val="Comment Subject Char"/>
    <w:basedOn w:val="CommentTextChar"/>
    <w:link w:val="CommentSubject"/>
    <w:uiPriority w:val="99"/>
    <w:semiHidden/>
    <w:rsid w:val="000F00C1"/>
    <w:rPr>
      <w:b/>
      <w:bCs/>
      <w:sz w:val="20"/>
      <w:szCs w:val="20"/>
    </w:rPr>
  </w:style>
  <w:style w:type="character" w:styleId="Mention">
    <w:name w:val="Mention"/>
    <w:basedOn w:val="DefaultParagraphFont"/>
    <w:uiPriority w:val="99"/>
    <w:unhideWhenUsed/>
    <w:rsid w:val="000F00C1"/>
    <w:rPr>
      <w:color w:val="2B579A"/>
      <w:shd w:val="clear" w:color="auto" w:fill="E1DFDD"/>
    </w:rPr>
  </w:style>
  <w:style w:type="character" w:styleId="Strong">
    <w:name w:val="Strong"/>
    <w:basedOn w:val="DefaultParagraphFont"/>
    <w:uiPriority w:val="22"/>
    <w:qFormat/>
    <w:rsid w:val="00C20B0E"/>
    <w:rPr>
      <w:b/>
      <w:bCs/>
    </w:rPr>
  </w:style>
  <w:style w:type="character" w:styleId="Emphasis">
    <w:name w:val="Emphasis"/>
    <w:basedOn w:val="DefaultParagraphFont"/>
    <w:uiPriority w:val="20"/>
    <w:qFormat/>
    <w:rsid w:val="00265D06"/>
    <w:rPr>
      <w:i/>
      <w:iCs/>
    </w:rPr>
  </w:style>
  <w:style w:type="paragraph" w:styleId="NormalWeb">
    <w:name w:val="Normal (Web)"/>
    <w:basedOn w:val="Normal"/>
    <w:uiPriority w:val="99"/>
    <w:semiHidden/>
    <w:unhideWhenUsed/>
    <w:rsid w:val="00B96287"/>
    <w:pPr>
      <w:spacing w:before="100" w:beforeAutospacing="1" w:after="100" w:afterAutospacing="1" w:line="240" w:lineRule="auto"/>
    </w:pPr>
    <w:rPr>
      <w:rFonts w:ascii="Times New Roman" w:eastAsia="Times New Roman" w:hAnsi="Times New Roman" w:cs="Times New Roman"/>
      <w:lang w:eastAsia="en-US"/>
    </w:rPr>
  </w:style>
  <w:style w:type="paragraph" w:styleId="TOC3">
    <w:name w:val="toc 3"/>
    <w:basedOn w:val="Normal"/>
    <w:next w:val="Normal"/>
    <w:autoRedefine/>
    <w:uiPriority w:val="39"/>
    <w:unhideWhenUsed/>
    <w:rsid w:val="00316309"/>
    <w:pPr>
      <w:spacing w:after="100"/>
      <w:ind w:left="480"/>
    </w:pPr>
  </w:style>
  <w:style w:type="paragraph" w:styleId="Header">
    <w:name w:val="header"/>
    <w:basedOn w:val="Normal"/>
    <w:link w:val="HeaderChar"/>
    <w:uiPriority w:val="99"/>
    <w:unhideWhenUsed/>
    <w:rsid w:val="00A93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D84"/>
  </w:style>
  <w:style w:type="paragraph" w:styleId="Footer">
    <w:name w:val="footer"/>
    <w:basedOn w:val="Normal"/>
    <w:link w:val="FooterChar"/>
    <w:uiPriority w:val="99"/>
    <w:unhideWhenUsed/>
    <w:rsid w:val="00A93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D84"/>
  </w:style>
  <w:style w:type="paragraph" w:styleId="TOCHeading">
    <w:name w:val="TOC Heading"/>
    <w:basedOn w:val="Heading1"/>
    <w:next w:val="Normal"/>
    <w:uiPriority w:val="39"/>
    <w:unhideWhenUsed/>
    <w:qFormat/>
    <w:rsid w:val="000349DE"/>
    <w:pPr>
      <w:spacing w:before="240" w:after="0" w:line="259" w:lineRule="auto"/>
      <w:outlineLvl w:val="9"/>
    </w:pPr>
    <w:rPr>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165726">
      <w:bodyDiv w:val="1"/>
      <w:marLeft w:val="0"/>
      <w:marRight w:val="0"/>
      <w:marTop w:val="0"/>
      <w:marBottom w:val="0"/>
      <w:divBdr>
        <w:top w:val="none" w:sz="0" w:space="0" w:color="auto"/>
        <w:left w:val="none" w:sz="0" w:space="0" w:color="auto"/>
        <w:bottom w:val="none" w:sz="0" w:space="0" w:color="auto"/>
        <w:right w:val="none" w:sz="0" w:space="0" w:color="auto"/>
      </w:divBdr>
    </w:div>
    <w:div w:id="1598293710">
      <w:bodyDiv w:val="1"/>
      <w:marLeft w:val="0"/>
      <w:marRight w:val="0"/>
      <w:marTop w:val="0"/>
      <w:marBottom w:val="0"/>
      <w:divBdr>
        <w:top w:val="none" w:sz="0" w:space="0" w:color="auto"/>
        <w:left w:val="none" w:sz="0" w:space="0" w:color="auto"/>
        <w:bottom w:val="none" w:sz="0" w:space="0" w:color="auto"/>
        <w:right w:val="none" w:sz="0" w:space="0" w:color="auto"/>
      </w:divBdr>
    </w:div>
    <w:div w:id="1657758492">
      <w:bodyDiv w:val="1"/>
      <w:marLeft w:val="0"/>
      <w:marRight w:val="0"/>
      <w:marTop w:val="0"/>
      <w:marBottom w:val="0"/>
      <w:divBdr>
        <w:top w:val="none" w:sz="0" w:space="0" w:color="auto"/>
        <w:left w:val="none" w:sz="0" w:space="0" w:color="auto"/>
        <w:bottom w:val="none" w:sz="0" w:space="0" w:color="auto"/>
        <w:right w:val="none" w:sz="0" w:space="0" w:color="auto"/>
      </w:divBdr>
    </w:div>
    <w:div w:id="1684549364">
      <w:bodyDiv w:val="1"/>
      <w:marLeft w:val="0"/>
      <w:marRight w:val="0"/>
      <w:marTop w:val="0"/>
      <w:marBottom w:val="0"/>
      <w:divBdr>
        <w:top w:val="none" w:sz="0" w:space="0" w:color="auto"/>
        <w:left w:val="none" w:sz="0" w:space="0" w:color="auto"/>
        <w:bottom w:val="none" w:sz="0" w:space="0" w:color="auto"/>
        <w:right w:val="none" w:sz="0" w:space="0" w:color="auto"/>
      </w:divBdr>
      <w:divsChild>
        <w:div w:id="137607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c2351f4-dd54-4a5b-b432-451aa6357d68" xsi:nil="true"/>
    <lcf76f155ced4ddcb4097134ff3c332f xmlns="99b15b69-9ed9-4ec4-9ba4-640f6561416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57D6CB20BF1241BAE6D9C548A182E6" ma:contentTypeVersion="16" ma:contentTypeDescription="Create a new document." ma:contentTypeScope="" ma:versionID="d982f44e85c7f945bc9ac31da0735028">
  <xsd:schema xmlns:xsd="http://www.w3.org/2001/XMLSchema" xmlns:xs="http://www.w3.org/2001/XMLSchema" xmlns:p="http://schemas.microsoft.com/office/2006/metadata/properties" xmlns:ns2="99b15b69-9ed9-4ec4-9ba4-640f65614167" xmlns:ns3="8c2351f4-dd54-4a5b-b432-451aa6357d68" targetNamespace="http://schemas.microsoft.com/office/2006/metadata/properties" ma:root="true" ma:fieldsID="2092f305ea0d5b47de2d64859f5b49ba" ns2:_="" ns3:_="">
    <xsd:import namespace="99b15b69-9ed9-4ec4-9ba4-640f65614167"/>
    <xsd:import namespace="8c2351f4-dd54-4a5b-b432-451aa6357d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3:SharedWithUsers" minOccurs="0"/>
                <xsd:element ref="ns3:SharedWithDetails" minOccurs="0"/>
                <xsd:element ref="ns2:MediaServiceObjectDetectorVersions" minOccurs="0"/>
                <xsd:element ref="ns2:MediaServiceGenerationTime" minOccurs="0"/>
                <xsd:element ref="ns2:MediaServiceEventHashCode"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15b69-9ed9-4ec4-9ba4-640f65614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a7e81d-6ea8-45c5-b51f-f6fb8dd5843f"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2351f4-dd54-4a5b-b432-451aa6357d6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0471418-1e8a-4e67-9e5b-41e81a328690}" ma:internalName="TaxCatchAll" ma:showField="CatchAllData" ma:web="8c2351f4-dd54-4a5b-b432-451aa6357d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B8BA3-8751-4619-8493-E0D44372F6E7}">
  <ds:schemaRefs>
    <ds:schemaRef ds:uri="http://schemas.microsoft.com/sharepoint/v3/contenttype/forms"/>
  </ds:schemaRefs>
</ds:datastoreItem>
</file>

<file path=customXml/itemProps2.xml><?xml version="1.0" encoding="utf-8"?>
<ds:datastoreItem xmlns:ds="http://schemas.openxmlformats.org/officeDocument/2006/customXml" ds:itemID="{CD7D5EC0-6817-4C24-9F5A-7D12103CD876}">
  <ds:schemaRefs>
    <ds:schemaRef ds:uri="http://schemas.microsoft.com/office/2006/metadata/properties"/>
    <ds:schemaRef ds:uri="http://schemas.microsoft.com/office/infopath/2007/PartnerControls"/>
    <ds:schemaRef ds:uri="8c2351f4-dd54-4a5b-b432-451aa6357d68"/>
    <ds:schemaRef ds:uri="99b15b69-9ed9-4ec4-9ba4-640f65614167"/>
  </ds:schemaRefs>
</ds:datastoreItem>
</file>

<file path=customXml/itemProps3.xml><?xml version="1.0" encoding="utf-8"?>
<ds:datastoreItem xmlns:ds="http://schemas.openxmlformats.org/officeDocument/2006/customXml" ds:itemID="{3839A3EF-BF8E-45E6-8BEE-A273B23CA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15b69-9ed9-4ec4-9ba4-640f65614167"/>
    <ds:schemaRef ds:uri="8c2351f4-dd54-4a5b-b432-451aa6357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7C8FA-A251-476F-821A-F6486D246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759</Words>
  <Characters>4329</Characters>
  <Application>Microsoft Office Word</Application>
  <DocSecurity>4</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 Zhu</dc:creator>
  <cp:keywords/>
  <dc:description/>
  <cp:lastModifiedBy>Jim Pemberton</cp:lastModifiedBy>
  <cp:revision>183</cp:revision>
  <dcterms:created xsi:type="dcterms:W3CDTF">2025-08-18T16:59:00Z</dcterms:created>
  <dcterms:modified xsi:type="dcterms:W3CDTF">2025-09-22T18:18:00Z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0x010100C657D6CB20BF1241BAE6D9C548A182E6</vt:lpwstr>
  </property>
  <property fmtid="{D5CDD505-2E9C-101B-9397-08002B2CF9AE}" pid="3" name="MediaServiceImageTags">
    <vt:lpwstr/>
  </property>
  <property fmtid="{D5CDD505-2E9C-101B-9397-08002B2CF9AE}" pid="4" name="GrammarlyDocumentId">
    <vt:lpwstr>63066621-4894-4e83-bda8-cf044024ffa7</vt:lpwstr>
  </property>
  <property fmtid="{D5CDD505-2E9C-101B-9397-08002B2CF9AE}" pid="5" name="MSIP_Label_bc3dd1c7-2c40-4a31-84b2-bec599b321a0_Enabled">
    <vt:lpwstr>true</vt:lpwstr>
  </property>
  <property fmtid="{D5CDD505-2E9C-101B-9397-08002B2CF9AE}" pid="6" name="MSIP_Label_bc3dd1c7-2c40-4a31-84b2-bec599b321a0_SetDate">
    <vt:lpwstr>2025-08-18T17:03:22Z</vt:lpwstr>
  </property>
  <property fmtid="{D5CDD505-2E9C-101B-9397-08002B2CF9AE}" pid="7" name="MSIP_Label_bc3dd1c7-2c40-4a31-84b2-bec599b321a0_Method">
    <vt:lpwstr>Standard</vt:lpwstr>
  </property>
  <property fmtid="{D5CDD505-2E9C-101B-9397-08002B2CF9AE}" pid="8" name="MSIP_Label_bc3dd1c7-2c40-4a31-84b2-bec599b321a0_Name">
    <vt:lpwstr>bc3dd1c7-2c40-4a31-84b2-bec599b321a0</vt:lpwstr>
  </property>
  <property fmtid="{D5CDD505-2E9C-101B-9397-08002B2CF9AE}" pid="9" name="MSIP_Label_bc3dd1c7-2c40-4a31-84b2-bec599b321a0_SiteId">
    <vt:lpwstr>5b2a8fee-4c95-4bdc-8aae-196f8aacb1b6</vt:lpwstr>
  </property>
  <property fmtid="{D5CDD505-2E9C-101B-9397-08002B2CF9AE}" pid="10" name="MSIP_Label_bc3dd1c7-2c40-4a31-84b2-bec599b321a0_ActionId">
    <vt:lpwstr>ae84e983-7a31-438e-9591-3e6109f25bf9</vt:lpwstr>
  </property>
  <property fmtid="{D5CDD505-2E9C-101B-9397-08002B2CF9AE}" pid="11" name="MSIP_Label_bc3dd1c7-2c40-4a31-84b2-bec599b321a0_ContentBits">
    <vt:lpwstr>0</vt:lpwstr>
  </property>
</Properties>
</file>