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System Design Assessment: SeatSure Ticketing Platform</w:t>
      </w:r>
    </w:p>
    <w:p>
      <w:pPr/>
      <w:r>
        <w:t xml:space="preserve">Oct 27, 2026</w:t>
      </w:r>
      <w:r>
        <w:t xml:space="preserve"> · </w:t>
      </w:r>
      <w:r>
        <w:t xml:space="preserve">@Arun Shankar Tiwari</w:t>
      </w:r>
    </w:p>
    <w:p>
      <w:pPr>
        <w:pStyle w:val="Heading2"/>
      </w:pPr>
      <w:r>
        <w:t xml:space="preserve">Instructions</w:t>
      </w:r>
    </w:p>
    <w:p>
      <w:pPr/>
      <w:r>
        <w:t xml:space="preserve">You have </w:t>
      </w:r>
      <w:r>
        <w:rPr>
          <w:b/>
        </w:rPr>
        <w:t xml:space="preserve">3 hours (180 minutes)</w:t>
      </w:r>
      <w:r>
        <w:t xml:space="preserve"> to design one production system end to end, from product scope to deployment. The assessment carries </w:t>
      </w:r>
      <w:r>
        <w:rPr>
          <w:b/>
        </w:rPr>
        <w:t xml:space="preserve">100 marks</w:t>
      </w:r>
      <w:r>
        <w:t xml:space="preserve"> across five parts that build on each other, so answer them in order.</w:t>
      </w:r>
    </w:p>
    <w:tbl>
      <w:tblPr>
        <w:tblStyle w:val="TableGrid"/>
        <w:tblW w:w="0" w:type="auto"/>
        <w:tblLayout w:type="fixed"/>
        <w:tblLook w:val="04A0" w:firstRow="1" w:lastRow="0" w:firstColumn="0" w:lastColumn="0" w:noHBand="0" w:noVBand="1"/>
      </w:tblPr>
      <w:tblGrid>
        <w:gridCol w:w="862"/>
        <w:gridCol w:w="5212"/>
        <w:gridCol w:w="2234"/>
        <w:gridCol w:w="1050"/>
      </w:tblGrid>
      <w:tr>
        <w:trPr>
          <w:tblHeader/>
        </w:trPr>
        <w:tc>
          <w:tcPr>
            <w:tcW w:w="862" w:type="dxa"/>
            <w:shd w:val="clear" w:color="auto" w:fill="F2F2F2"/>
          </w:tcPr>
          <w:p>
            <w:pPr/>
            <w:r>
              <w:t xml:space="preserve">Part</w:t>
            </w:r>
          </w:p>
        </w:tc>
        <w:tc>
          <w:tcPr>
            <w:tcW w:w="5212" w:type="dxa"/>
            <w:shd w:val="clear" w:color="auto" w:fill="F2F2F2"/>
          </w:tcPr>
          <w:p>
            <w:pPr/>
            <w:r>
              <w:t xml:space="preserve">Topic</w:t>
            </w:r>
          </w:p>
        </w:tc>
        <w:tc>
          <w:tcPr>
            <w:tcW w:w="2234" w:type="dxa"/>
            <w:shd w:val="clear" w:color="auto" w:fill="F2F2F2"/>
          </w:tcPr>
          <w:p>
            <w:pPr/>
            <w:r>
              <w:t xml:space="preserve">Suggested time</w:t>
            </w:r>
          </w:p>
        </w:tc>
        <w:tc>
          <w:tcPr>
            <w:tcW w:w="1050" w:type="dxa"/>
            <w:shd w:val="clear" w:color="auto" w:fill="F2F2F2"/>
          </w:tcPr>
          <w:p>
            <w:pPr/>
            <w:r>
              <w:t xml:space="preserve">Marks</w:t>
            </w:r>
          </w:p>
        </w:tc>
      </w:tr>
      <w:tr>
        <w:tc>
          <w:tcPr>
            <w:tcW w:w="862" w:type="dxa"/>
          </w:tcPr>
          <w:p>
            <w:pPr/>
            <w:r>
              <w:t xml:space="preserve">—</w:t>
            </w:r>
          </w:p>
        </w:tc>
        <w:tc>
          <w:tcPr>
            <w:tcW w:w="5212" w:type="dxa"/>
          </w:tcPr>
          <w:p>
            <w:pPr/>
            <w:r>
              <w:t xml:space="preserve">Read the scenario, note assumptions</w:t>
            </w:r>
          </w:p>
        </w:tc>
        <w:tc>
          <w:tcPr>
            <w:tcW w:w="2234" w:type="dxa"/>
          </w:tcPr>
          <w:p>
            <w:pPr/>
            <w:r>
              <w:t xml:space="preserve">10 min</w:t>
            </w:r>
          </w:p>
        </w:tc>
        <w:tc>
          <w:tcPr>
            <w:tcW w:w="1050" w:type="dxa"/>
          </w:tcPr>
          <w:p>
            <w:pPr/>
            <w:r>
              <w:t xml:space="preserve">—</w:t>
            </w:r>
          </w:p>
        </w:tc>
      </w:tr>
      <w:tr>
        <w:tc>
          <w:tcPr>
            <w:tcW w:w="862" w:type="dxa"/>
          </w:tcPr>
          <w:p>
            <w:pPr/>
            <w:r>
              <w:t xml:space="preserve">A</w:t>
            </w:r>
          </w:p>
        </w:tc>
        <w:tc>
          <w:tcPr>
            <w:tcW w:w="5212" w:type="dxa"/>
          </w:tcPr>
          <w:p>
            <w:pPr/>
            <w:r>
              <w:t xml:space="preserve">Product Engineering</w:t>
            </w:r>
          </w:p>
        </w:tc>
        <w:tc>
          <w:tcPr>
            <w:tcW w:w="2234" w:type="dxa"/>
          </w:tcPr>
          <w:p>
            <w:pPr/>
            <w:r>
              <w:t xml:space="preserve">20 min</w:t>
            </w:r>
          </w:p>
        </w:tc>
        <w:tc>
          <w:tcPr>
            <w:tcW w:w="1050" w:type="dxa"/>
          </w:tcPr>
          <w:p>
            <w:pPr/>
            <w:r>
              <w:t xml:space="preserve">15</w:t>
            </w:r>
          </w:p>
        </w:tc>
      </w:tr>
      <w:tr>
        <w:tc>
          <w:tcPr>
            <w:tcW w:w="862" w:type="dxa"/>
          </w:tcPr>
          <w:p>
            <w:pPr/>
            <w:r>
              <w:t xml:space="preserve">B</w:t>
            </w:r>
          </w:p>
        </w:tc>
        <w:tc>
          <w:tcPr>
            <w:tcW w:w="5212" w:type="dxa"/>
          </w:tcPr>
          <w:p>
            <w:pPr/>
            <w:r>
              <w:t xml:space="preserve">Domain-Driven Design</w:t>
            </w:r>
          </w:p>
        </w:tc>
        <w:tc>
          <w:tcPr>
            <w:tcW w:w="2234" w:type="dxa"/>
          </w:tcPr>
          <w:p>
            <w:pPr/>
            <w:r>
              <w:t xml:space="preserve">35 min</w:t>
            </w:r>
          </w:p>
        </w:tc>
        <w:tc>
          <w:tcPr>
            <w:tcW w:w="1050" w:type="dxa"/>
          </w:tcPr>
          <w:p>
            <w:pPr/>
            <w:r>
              <w:t xml:space="preserve">20</w:t>
            </w:r>
          </w:p>
        </w:tc>
      </w:tr>
      <w:tr>
        <w:tc>
          <w:tcPr>
            <w:tcW w:w="862" w:type="dxa"/>
          </w:tcPr>
          <w:p>
            <w:pPr/>
            <w:r>
              <w:t xml:space="preserve">C</w:t>
            </w:r>
          </w:p>
        </w:tc>
        <w:tc>
          <w:tcPr>
            <w:tcW w:w="5212" w:type="dxa"/>
          </w:tcPr>
          <w:p>
            <w:pPr/>
            <w:r>
              <w:t xml:space="preserve">API Design</w:t>
            </w:r>
          </w:p>
        </w:tc>
        <w:tc>
          <w:tcPr>
            <w:tcW w:w="2234" w:type="dxa"/>
          </w:tcPr>
          <w:p>
            <w:pPr/>
            <w:r>
              <w:t xml:space="preserve">35 min</w:t>
            </w:r>
          </w:p>
        </w:tc>
        <w:tc>
          <w:tcPr>
            <w:tcW w:w="1050" w:type="dxa"/>
          </w:tcPr>
          <w:p>
            <w:pPr/>
            <w:r>
              <w:t xml:space="preserve">20</w:t>
            </w:r>
          </w:p>
        </w:tc>
      </w:tr>
      <w:tr>
        <w:tc>
          <w:tcPr>
            <w:tcW w:w="862" w:type="dxa"/>
          </w:tcPr>
          <w:p>
            <w:pPr/>
            <w:r>
              <w:t xml:space="preserve">D1</w:t>
            </w:r>
          </w:p>
        </w:tc>
        <w:tc>
          <w:tcPr>
            <w:tcW w:w="5212" w:type="dxa"/>
          </w:tcPr>
          <w:p>
            <w:pPr/>
            <w:r>
              <w:t xml:space="preserve">Production infrastructure on AWS</w:t>
            </w:r>
          </w:p>
        </w:tc>
        <w:tc>
          <w:tcPr>
            <w:tcW w:w="2234" w:type="dxa"/>
          </w:tcPr>
          <w:p>
            <w:pPr/>
            <w:r>
              <w:t xml:space="preserve">25 min</w:t>
            </w:r>
          </w:p>
        </w:tc>
        <w:tc>
          <w:tcPr>
            <w:tcW w:w="1050" w:type="dxa"/>
          </w:tcPr>
          <w:p>
            <w:pPr/>
            <w:r>
              <w:t xml:space="preserve">15</w:t>
            </w:r>
          </w:p>
        </w:tc>
      </w:tr>
      <w:tr>
        <w:tc>
          <w:tcPr>
            <w:tcW w:w="862" w:type="dxa"/>
          </w:tcPr>
          <w:p>
            <w:pPr/>
            <w:r>
              <w:t xml:space="preserve">D2</w:t>
            </w:r>
          </w:p>
        </w:tc>
        <w:tc>
          <w:tcPr>
            <w:tcW w:w="5212" w:type="dxa"/>
          </w:tcPr>
          <w:p>
            <w:pPr/>
            <w:r>
              <w:t xml:space="preserve">Production infrastructure on Kubernetes</w:t>
            </w:r>
          </w:p>
        </w:tc>
        <w:tc>
          <w:tcPr>
            <w:tcW w:w="2234" w:type="dxa"/>
          </w:tcPr>
          <w:p>
            <w:pPr/>
            <w:r>
              <w:t xml:space="preserve">25 min</w:t>
            </w:r>
          </w:p>
        </w:tc>
        <w:tc>
          <w:tcPr>
            <w:tcW w:w="1050" w:type="dxa"/>
          </w:tcPr>
          <w:p>
            <w:pPr/>
            <w:r>
              <w:t xml:space="preserve">15</w:t>
            </w:r>
          </w:p>
        </w:tc>
      </w:tr>
      <w:tr>
        <w:tc>
          <w:tcPr>
            <w:tcW w:w="862" w:type="dxa"/>
          </w:tcPr>
          <w:p>
            <w:pPr/>
            <w:r>
              <w:t xml:space="preserve">E</w:t>
            </w:r>
          </w:p>
        </w:tc>
        <w:tc>
          <w:tcPr>
            <w:tcW w:w="5212" w:type="dxa"/>
          </w:tcPr>
          <w:p>
            <w:pPr/>
            <w:r>
              <w:t xml:space="preserve">Production deployment checklist</w:t>
            </w:r>
          </w:p>
        </w:tc>
        <w:tc>
          <w:tcPr>
            <w:tcW w:w="2234" w:type="dxa"/>
          </w:tcPr>
          <w:p>
            <w:pPr/>
            <w:r>
              <w:t xml:space="preserve">20 min</w:t>
            </w:r>
          </w:p>
        </w:tc>
        <w:tc>
          <w:tcPr>
            <w:tcW w:w="1050" w:type="dxa"/>
          </w:tcPr>
          <w:p>
            <w:pPr/>
            <w:r>
              <w:t xml:space="preserve">15</w:t>
            </w:r>
          </w:p>
        </w:tc>
      </w:tr>
      <w:tr>
        <w:tc>
          <w:tcPr>
            <w:tcW w:w="862" w:type="dxa"/>
          </w:tcPr>
          <w:p>
            <w:pPr/>
            <w:r>
              <w:t xml:space="preserve">—</w:t>
            </w:r>
          </w:p>
        </w:tc>
        <w:tc>
          <w:tcPr>
            <w:tcW w:w="5212" w:type="dxa"/>
          </w:tcPr>
          <w:p>
            <w:pPr/>
            <w:r>
              <w:t xml:space="preserve">Review and consistency pass</w:t>
            </w:r>
          </w:p>
        </w:tc>
        <w:tc>
          <w:tcPr>
            <w:tcW w:w="2234" w:type="dxa"/>
          </w:tcPr>
          <w:p>
            <w:pPr/>
            <w:r>
              <w:t xml:space="preserve">10 min</w:t>
            </w:r>
          </w:p>
        </w:tc>
        <w:tc>
          <w:tcPr>
            <w:tcW w:w="1050" w:type="dxa"/>
          </w:tcPr>
          <w:p>
            <w:pPr/>
            <w:r>
              <w:t xml:space="preserve">—</w:t>
            </w:r>
          </w:p>
        </w:tc>
      </w:tr>
      <w:tr>
        <w:tc>
          <w:tcPr>
            <w:tcW w:w="862" w:type="dxa"/>
          </w:tcPr>
          <w:p>
            <w:pPr/>
          </w:p>
        </w:tc>
        <w:tc>
          <w:tcPr>
            <w:tcW w:w="5212" w:type="dxa"/>
          </w:tcPr>
          <w:p>
            <w:pPr/>
            <w:r>
              <w:rPr>
                <w:b/>
              </w:rPr>
              <w:t xml:space="preserve">Total</w:t>
            </w:r>
          </w:p>
        </w:tc>
        <w:tc>
          <w:tcPr>
            <w:tcW w:w="2234" w:type="dxa"/>
          </w:tcPr>
          <w:p>
            <w:pPr/>
            <w:r>
              <w:rPr>
                <w:b/>
              </w:rPr>
              <w:t xml:space="preserve">180 min</w:t>
            </w:r>
          </w:p>
        </w:tc>
        <w:tc>
          <w:tcPr>
            <w:tcW w:w="1050" w:type="dxa"/>
          </w:tcPr>
          <w:p>
            <w:pPr/>
            <w:r>
              <w:rPr>
                <w:b/>
              </w:rPr>
              <w:t xml:space="preserve">100</w:t>
            </w:r>
          </w:p>
        </w:tc>
      </w:tr>
    </w:tbl>
    <w:p>
      <w:pPr/>
      <w:r>
        <w:rPr>
          <w:b/>
        </w:rPr>
        <w:t xml:space="preserve">Rules</w:t>
      </w:r>
    </w:p>
    <w:p>
      <w:pPr>
        <w:pStyle w:val="ListParagraph"/>
        <w:numPr>
          <w:ilvl w:val="0"/>
          <w:numId w:val="2"/>
        </w:numPr>
      </w:pPr>
      <w:r>
        <w:t xml:space="preserve">Individual work. You may use official documentation (AWS, Kubernetes, OpenAPI). No AI assistants, no copying from past submissions.</w:t>
      </w:r>
    </w:p>
    <w:p>
      <w:pPr>
        <w:pStyle w:val="ListParagraph"/>
        <w:numPr>
          <w:ilvl w:val="0"/>
          <w:numId w:val="2"/>
        </w:numPr>
      </w:pPr>
      <w:r>
        <w:t xml:space="preserve">Diagrams may be drawn in any tool (draw.io, Excalidraw, Mermaid) or by hand and photographed. Clarity beats polish.</w:t>
      </w:r>
    </w:p>
    <w:p>
      <w:pPr>
        <w:pStyle w:val="ListParagraph"/>
        <w:numPr>
          <w:ilvl w:val="0"/>
          <w:numId w:val="2"/>
        </w:numPr>
      </w:pPr>
      <w:r>
        <w:t xml:space="preserve">When the brief is silent, state an assumption in one line and move on. Reasonable, stated assumptions are never penalised.</w:t>
      </w:r>
    </w:p>
    <w:p>
      <w:pPr>
        <w:pStyle w:val="ListParagraph"/>
        <w:numPr>
          <w:ilvl w:val="0"/>
          <w:numId w:val="2"/>
        </w:numPr>
      </w:pPr>
      <w:r>
        <w:t xml:space="preserve">Consistency counts: the bounded contexts in Part B should reappear as services in Part D and as APIs in Part C.</w:t>
      </w:r>
    </w:p>
    <w:p>
      <w:pPr/>
      <w:r>
        <w:rPr>
          <w:b/>
        </w:rPr>
        <w:t xml:space="preserve">What to submit:</w:t>
      </w:r>
      <w:r>
        <w:t xml:space="preserve"> one PDF or Markdown file with a section per part (A to E), plus your diagrams embedded or attached. Name it </w:t>
      </w:r>
      <w:r>
        <w:rPr>
          <w:rStyle w:val="CodeChar"/>
        </w:rPr>
        <w:t xml:space="preserve">&lt;your-name&gt;-seatsure.pdf</w:t>
      </w:r>
      <w:r>
        <w:t xml:space="preserve">.</w:t>
      </w:r>
    </w:p>
    <w:p>
      <w:pPr>
        <w:pStyle w:val="Heading2"/>
      </w:pPr>
      <w:r>
        <w:t xml:space="preserve">Scenario brief: SeatSure</w:t>
      </w:r>
    </w:p>
    <w:p>
      <w:pPr/>
      <w:r>
        <w:t xml:space="preserve">SeatSure is a funded startup building an online ticketing platform for concerts, stand-up shows and sports events across India. Organisers list events; fans pick seats on a venue map and pay. Today it runs as a single Django app on one VM, and it fell over during its last big on-sale. You are the founding architect asked to design version 2.</w:t>
      </w:r>
    </w:p>
    <w:p>
      <w:pPr/>
      <w:r>
        <w:rPr>
          <w:b/>
        </w:rPr>
        <w:t xml:space="preserve">Actors</w:t>
      </w:r>
    </w:p>
    <w:p>
      <w:pPr>
        <w:pStyle w:val="ListParagraph"/>
        <w:numPr>
          <w:ilvl w:val="0"/>
          <w:numId w:val="3"/>
        </w:numPr>
      </w:pPr>
      <w:r>
        <w:rPr>
          <w:b/>
        </w:rPr>
        <w:t xml:space="preserve">Fan</w:t>
      </w:r>
      <w:r>
        <w:t xml:space="preserve">: browses events, selects seats, pays, receives an e-ticket (QR code), may request a refund.</w:t>
      </w:r>
    </w:p>
    <w:p>
      <w:pPr>
        <w:pStyle w:val="ListParagraph"/>
        <w:numPr>
          <w:ilvl w:val="0"/>
          <w:numId w:val="3"/>
        </w:numPr>
      </w:pPr>
      <w:r>
        <w:rPr>
          <w:b/>
        </w:rPr>
        <w:t xml:space="preserve">Organiser</w:t>
      </w:r>
      <w:r>
        <w:t xml:space="preserve">: creates events, configures venues, sets price tiers, views live sales, receives payouts.</w:t>
      </w:r>
    </w:p>
    <w:p>
      <w:pPr>
        <w:pStyle w:val="ListParagraph"/>
        <w:numPr>
          <w:ilvl w:val="0"/>
          <w:numId w:val="3"/>
        </w:numPr>
      </w:pPr>
      <w:r>
        <w:rPr>
          <w:b/>
        </w:rPr>
        <w:t xml:space="preserve">Venue staff</w:t>
      </w:r>
      <w:r>
        <w:t xml:space="preserve">: scans tickets at the gate, sometimes with weak connectivity.</w:t>
      </w:r>
    </w:p>
    <w:p>
      <w:pPr>
        <w:pStyle w:val="ListParagraph"/>
        <w:numPr>
          <w:ilvl w:val="0"/>
          <w:numId w:val="3"/>
        </w:numPr>
      </w:pPr>
      <w:r>
        <w:rPr>
          <w:b/>
        </w:rPr>
        <w:t xml:space="preserve">Ops / support agent</w:t>
      </w:r>
      <w:r>
        <w:t xml:space="preserve">: handles refunds, disputes and fraud flags.</w:t>
      </w:r>
    </w:p>
    <w:p>
      <w:pPr>
        <w:pStyle w:val="ListParagraph"/>
        <w:numPr>
          <w:ilvl w:val="0"/>
          <w:numId w:val="3"/>
        </w:numPr>
      </w:pPr>
      <w:r>
        <w:rPr>
          <w:b/>
        </w:rPr>
        <w:t xml:space="preserve">External systems</w:t>
      </w:r>
      <w:r>
        <w:t xml:space="preserve">: a payment gateway (UPI, cards, net banking; asynchronous webhooks), an SMS/email/WhatsApp provider, and the GST invoicing service.</w:t>
      </w:r>
    </w:p>
    <w:p>
      <w:pPr/>
      <w:r>
        <w:rPr>
          <w:b/>
        </w:rPr>
        <w:t xml:space="preserve">Business rules</w:t>
      </w:r>
    </w:p>
    <w:p>
      <w:pPr>
        <w:pStyle w:val="ListParagraph"/>
        <w:numPr>
          <w:ilvl w:val="0"/>
          <w:numId w:val="4"/>
        </w:numPr>
      </w:pPr>
      <w:r>
        <w:t xml:space="preserve">A seat can be sold </w:t>
      </w:r>
      <w:r>
        <w:rPr>
          <w:b/>
        </w:rPr>
        <w:t xml:space="preserve">at most once</w:t>
      </w:r>
      <w:r>
        <w:t xml:space="preserve">. Overselling is the single unacceptable failure.</w:t>
      </w:r>
    </w:p>
    <w:p>
      <w:pPr>
        <w:pStyle w:val="ListParagraph"/>
        <w:numPr>
          <w:ilvl w:val="0"/>
          <w:numId w:val="4"/>
        </w:numPr>
      </w:pPr>
      <w:r>
        <w:t xml:space="preserve">When a fan selects seats they are </w:t>
      </w:r>
      <w:r>
        <w:rPr>
          <w:b/>
        </w:rPr>
        <w:t xml:space="preserve">held for 8 minutes</w:t>
      </w:r>
      <w:r>
        <w:t xml:space="preserve">. Unpaid holds expire and the seats return to sale.</w:t>
      </w:r>
    </w:p>
    <w:p>
      <w:pPr>
        <w:pStyle w:val="ListParagraph"/>
        <w:numPr>
          <w:ilvl w:val="0"/>
          <w:numId w:val="4"/>
        </w:numPr>
      </w:pPr>
      <w:r>
        <w:t xml:space="preserve">Maximum </w:t>
      </w:r>
      <w:r>
        <w:rPr>
          <w:b/>
        </w:rPr>
        <w:t xml:space="preserve">6 tickets per fan per event</w:t>
      </w:r>
      <w:r>
        <w:t xml:space="preserve">.</w:t>
      </w:r>
    </w:p>
    <w:p>
      <w:pPr>
        <w:pStyle w:val="ListParagraph"/>
        <w:numPr>
          <w:ilvl w:val="0"/>
          <w:numId w:val="4"/>
        </w:numPr>
      </w:pPr>
      <w:r>
        <w:t xml:space="preserve">Payment confirmation can arrive late (up to 30 minutes) or more than once through webhooks.</w:t>
      </w:r>
    </w:p>
    <w:p>
      <w:pPr>
        <w:pStyle w:val="ListParagraph"/>
        <w:numPr>
          <w:ilvl w:val="0"/>
          <w:numId w:val="4"/>
        </w:numPr>
      </w:pPr>
      <w:r>
        <w:t xml:space="preserve">Organisers may cancel an event; every fan is then refunded automatically.</w:t>
      </w:r>
    </w:p>
    <w:p>
      <w:pPr>
        <w:pStyle w:val="ListParagraph"/>
        <w:numPr>
          <w:ilvl w:val="0"/>
          <w:numId w:val="4"/>
        </w:numPr>
      </w:pPr>
      <w:r>
        <w:t xml:space="preserve">A ticket is valid for one entry. Scanning the same QR twice must be flagged.</w:t>
      </w:r>
    </w:p>
    <w:p>
      <w:pPr>
        <w:pStyle w:val="ListParagraph"/>
        <w:numPr>
          <w:ilvl w:val="0"/>
          <w:numId w:val="4"/>
        </w:numPr>
      </w:pPr>
      <w:r>
        <w:t xml:space="preserve">Organiser payouts happen T+3 days after the event, minus platform fee (8%) and GST.</w:t>
      </w:r>
    </w:p>
    <w:p>
      <w:pPr/>
      <w:r>
        <w:rPr>
          <w:b/>
        </w:rPr>
        <w:t xml:space="preserve">Scale and targets</w:t>
      </w:r>
    </w:p>
    <w:tbl>
      <w:tblPr>
        <w:tblStyle w:val="TableGrid"/>
        <w:tblW w:w="0" w:type="auto"/>
        <w:tblLayout w:type="fixed"/>
        <w:tblLook w:val="04A0" w:firstRow="1" w:lastRow="0" w:firstColumn="0" w:lastColumn="0" w:noHBand="0" w:noVBand="1"/>
      </w:tblPr>
      <w:tblGrid>
        <w:gridCol w:w="3345"/>
        <w:gridCol w:w="6014"/>
      </w:tblGrid>
      <w:tr>
        <w:trPr>
          <w:tblHeader/>
        </w:trPr>
        <w:tc>
          <w:tcPr>
            <w:tcW w:w="3345" w:type="dxa"/>
            <w:shd w:val="clear" w:color="auto" w:fill="F2F2F2"/>
          </w:tcPr>
          <w:p>
            <w:pPr/>
            <w:r>
              <w:t xml:space="preserve">Metric</w:t>
            </w:r>
          </w:p>
        </w:tc>
        <w:tc>
          <w:tcPr>
            <w:tcW w:w="6014" w:type="dxa"/>
            <w:shd w:val="clear" w:color="auto" w:fill="F2F2F2"/>
          </w:tcPr>
          <w:p>
            <w:pPr/>
            <w:r>
              <w:t xml:space="preserve">Value</w:t>
            </w:r>
          </w:p>
        </w:tc>
      </w:tr>
      <w:tr>
        <w:tc>
          <w:tcPr>
            <w:tcW w:w="3345" w:type="dxa"/>
          </w:tcPr>
          <w:p>
            <w:pPr/>
            <w:r>
              <w:t xml:space="preserve">Registered users</w:t>
            </w:r>
          </w:p>
        </w:tc>
        <w:tc>
          <w:tcPr>
            <w:tcW w:w="6014" w:type="dxa"/>
          </w:tcPr>
          <w:p>
            <w:pPr/>
            <w:r>
              <w:t xml:space="preserve">5 million</w:t>
            </w:r>
          </w:p>
        </w:tc>
      </w:tr>
      <w:tr>
        <w:tc>
          <w:tcPr>
            <w:tcW w:w="3345" w:type="dxa"/>
          </w:tcPr>
          <w:p>
            <w:pPr/>
            <w:r>
              <w:t xml:space="preserve">Events listed per month</w:t>
            </w:r>
          </w:p>
        </w:tc>
        <w:tc>
          <w:tcPr>
            <w:tcW w:w="6014" w:type="dxa"/>
          </w:tcPr>
          <w:p>
            <w:pPr/>
            <w:r>
              <w:t xml:space="preserve">4,000</w:t>
            </w:r>
          </w:p>
        </w:tc>
      </w:tr>
      <w:tr>
        <w:tc>
          <w:tcPr>
            <w:tcW w:w="3345" w:type="dxa"/>
          </w:tcPr>
          <w:p>
            <w:pPr/>
            <w:r>
              <w:t xml:space="preserve">Largest venue</w:t>
            </w:r>
          </w:p>
        </w:tc>
        <w:tc>
          <w:tcPr>
            <w:tcW w:w="6014" w:type="dxa"/>
          </w:tcPr>
          <w:p>
            <w:pPr/>
            <w:r>
              <w:t xml:space="preserve">60,000 seats (stadium)</w:t>
            </w:r>
          </w:p>
        </w:tc>
      </w:tr>
      <w:tr>
        <w:tc>
          <w:tcPr>
            <w:tcW w:w="3345" w:type="dxa"/>
          </w:tcPr>
          <w:p>
            <w:pPr/>
            <w:r>
              <w:t xml:space="preserve">Peak on-sale traffic</w:t>
            </w:r>
          </w:p>
        </w:tc>
        <w:tc>
          <w:tcPr>
            <w:tcW w:w="6014" w:type="dxa"/>
          </w:tcPr>
          <w:p>
            <w:pPr/>
            <w:r>
              <w:t xml:space="preserve">300,000 concurrent users in the first 10 minutes</w:t>
            </w:r>
          </w:p>
        </w:tc>
      </w:tr>
      <w:tr>
        <w:tc>
          <w:tcPr>
            <w:tcW w:w="3345" w:type="dxa"/>
          </w:tcPr>
          <w:p>
            <w:pPr/>
            <w:r>
              <w:t xml:space="preserve">Peak seat-hold requests</w:t>
            </w:r>
          </w:p>
        </w:tc>
        <w:tc>
          <w:tcPr>
            <w:tcW w:w="6014" w:type="dxa"/>
          </w:tcPr>
          <w:p>
            <w:pPr/>
            <w:r>
              <w:t xml:space="preserve">5,000 per second</w:t>
            </w:r>
          </w:p>
        </w:tc>
      </w:tr>
      <w:tr>
        <w:tc>
          <w:tcPr>
            <w:tcW w:w="3345" w:type="dxa"/>
          </w:tcPr>
          <w:p>
            <w:pPr/>
            <w:r>
              <w:t xml:space="preserve">Browse API latency</w:t>
            </w:r>
          </w:p>
        </w:tc>
        <w:tc>
          <w:tcPr>
            <w:tcW w:w="6014" w:type="dxa"/>
          </w:tcPr>
          <w:p>
            <w:pPr/>
            <w:r>
              <w:t xml:space="preserve">p99 under 300 ms</w:t>
            </w:r>
          </w:p>
        </w:tc>
      </w:tr>
      <w:tr>
        <w:tc>
          <w:tcPr>
            <w:tcW w:w="3345" w:type="dxa"/>
          </w:tcPr>
          <w:p>
            <w:pPr/>
            <w:r>
              <w:t xml:space="preserve">Checkout availability</w:t>
            </w:r>
          </w:p>
        </w:tc>
        <w:tc>
          <w:tcPr>
            <w:tcW w:w="6014" w:type="dxa"/>
          </w:tcPr>
          <w:p>
            <w:pPr/>
            <w:r>
              <w:t xml:space="preserve">99.95% monthly</w:t>
            </w:r>
          </w:p>
        </w:tc>
      </w:tr>
      <w:tr>
        <w:tc>
          <w:tcPr>
            <w:tcW w:w="3345" w:type="dxa"/>
          </w:tcPr>
          <w:p>
            <w:pPr/>
            <w:r>
              <w:t xml:space="preserve">Data residency</w:t>
            </w:r>
          </w:p>
        </w:tc>
        <w:tc>
          <w:tcPr>
            <w:tcW w:w="6014" w:type="dxa"/>
          </w:tcPr>
          <w:p>
            <w:pPr/>
            <w:r>
              <w:t xml:space="preserve">Personal and payment data must stay in India</w:t>
            </w:r>
          </w:p>
        </w:tc>
      </w:tr>
      <w:tr>
        <w:tc>
          <w:tcPr>
            <w:tcW w:w="3345" w:type="dxa"/>
          </w:tcPr>
          <w:p>
            <w:pPr/>
            <w:r>
              <w:t xml:space="preserve">RPO / RTO</w:t>
            </w:r>
          </w:p>
        </w:tc>
        <w:tc>
          <w:tcPr>
            <w:tcW w:w="6014" w:type="dxa"/>
          </w:tcPr>
          <w:p>
            <w:pPr/>
            <w:r>
              <w:t xml:space="preserve">5 minutes / 30 minutes</w:t>
            </w:r>
          </w:p>
        </w:tc>
      </w:tr>
    </w:tbl>
    <w:p>
      <w:pPr/>
      <w:r>
        <w:rPr>
          <w:b/>
        </w:rPr>
        <w:t xml:space="preserve">Constraints</w:t>
      </w:r>
    </w:p>
    <w:p>
      <w:pPr>
        <w:pStyle w:val="ListParagraph"/>
        <w:numPr>
          <w:ilvl w:val="0"/>
          <w:numId w:val="5"/>
        </w:numPr>
      </w:pPr>
      <w:r>
        <w:t xml:space="preserve">Team of 12 engineers in three squads. Avoid designs that need 20 microservices on day one.</w:t>
      </w:r>
    </w:p>
    <w:p>
      <w:pPr>
        <w:pStyle w:val="ListParagraph"/>
        <w:numPr>
          <w:ilvl w:val="0"/>
          <w:numId w:val="5"/>
        </w:numPr>
      </w:pPr>
      <w:r>
        <w:t xml:space="preserve">The company has committed to AWS (Mumbai region </w:t>
      </w:r>
      <w:r>
        <w:rPr>
          <w:rStyle w:val="CodeChar"/>
        </w:rPr>
        <w:t xml:space="preserve">ap-south-1</w:t>
      </w:r>
      <w:r>
        <w:t xml:space="preserve">, with Hyderabad </w:t>
      </w:r>
      <w:r>
        <w:rPr>
          <w:rStyle w:val="CodeChar"/>
        </w:rPr>
        <w:t xml:space="preserve">ap-south-2</w:t>
      </w:r>
      <w:r>
        <w:t xml:space="preserve"> available). A large enterprise client also wants the option to run SeatSure for its own venues on its </w:t>
      </w:r>
      <w:r>
        <w:rPr>
          <w:b/>
        </w:rPr>
        <w:t xml:space="preserve">own Kubernetes cluster</w:t>
      </w:r>
      <w:r>
        <w:t xml:space="preserve">, which is why Part D asks for both.</w:t>
      </w:r>
    </w:p>
    <w:p>
      <w:pPr>
        <w:pStyle w:val="ListParagraph"/>
        <w:numPr>
          <w:ilvl w:val="0"/>
          <w:numId w:val="5"/>
        </w:numPr>
      </w:pPr>
      <w:r>
        <w:t xml:space="preserve">Card data must never touch SeatSure servers (use the gateway's hosted fields / tokenisation).</w:t>
      </w:r>
    </w:p>
    <w:p>
      <w:pPr>
        <w:pStyle w:val="Heading2"/>
      </w:pPr>
      <w:r>
        <w:t xml:space="preserve">Part A: Product Engineering (20 min, 15 marks)</w:t>
      </w:r>
    </w:p>
    <w:p>
      <w:pPr/>
      <w:r>
        <w:t xml:space="preserve">Before designing anything, frame the product the way a product engineer would: what we are building, for whom, what "done" means, and what we will deliberately not build.</w:t>
      </w:r>
    </w:p>
    <w:tbl>
      <w:tblPr>
        <w:tblStyle w:val="TableGrid"/>
        <w:tblW w:w="0" w:type="auto"/>
        <w:tblLayout w:type="fixed"/>
        <w:tblLook w:val="04A0" w:firstRow="1" w:lastRow="0" w:firstColumn="0" w:lastColumn="0" w:noHBand="0" w:noVBand="1"/>
      </w:tblPr>
      <w:tblGrid>
        <w:gridCol w:w="1034"/>
        <w:gridCol w:w="7066"/>
        <w:gridCol w:w="1259"/>
      </w:tblGrid>
      <w:tr>
        <w:trPr>
          <w:tblHeader/>
        </w:trPr>
        <w:tc>
          <w:tcPr>
            <w:tcW w:w="1034" w:type="dxa"/>
            <w:shd w:val="clear" w:color="auto" w:fill="F2F2F2"/>
          </w:tcPr>
          <w:p>
            <w:pPr/>
            <w:r>
              <w:t xml:space="preserve">#</w:t>
            </w:r>
          </w:p>
        </w:tc>
        <w:tc>
          <w:tcPr>
            <w:tcW w:w="7066" w:type="dxa"/>
            <w:shd w:val="clear" w:color="auto" w:fill="F2F2F2"/>
          </w:tcPr>
          <w:p>
            <w:pPr/>
            <w:r>
              <w:t xml:space="preserve">Task</w:t>
            </w:r>
          </w:p>
        </w:tc>
        <w:tc>
          <w:tcPr>
            <w:tcW w:w="1259" w:type="dxa"/>
            <w:shd w:val="clear" w:color="auto" w:fill="F2F2F2"/>
          </w:tcPr>
          <w:p>
            <w:pPr/>
            <w:r>
              <w:t xml:space="preserve">Marks</w:t>
            </w:r>
          </w:p>
        </w:tc>
      </w:tr>
      <w:tr>
        <w:tc>
          <w:tcPr>
            <w:tcW w:w="1034" w:type="dxa"/>
          </w:tcPr>
          <w:p>
            <w:pPr/>
            <w:r>
              <w:t xml:space="preserve">A1</w:t>
            </w:r>
          </w:p>
        </w:tc>
        <w:tc>
          <w:tcPr>
            <w:tcW w:w="7066" w:type="dxa"/>
          </w:tcPr>
          <w:p>
            <w:pPr/>
            <w:r>
              <w:t xml:space="preserve">Write a one-paragraph problem statement and name the two primary user journeys you will optimise for.</w:t>
            </w:r>
          </w:p>
        </w:tc>
        <w:tc>
          <w:tcPr>
            <w:tcW w:w="1259" w:type="dxa"/>
          </w:tcPr>
          <w:p>
            <w:pPr/>
            <w:r>
              <w:t xml:space="preserve">2</w:t>
            </w:r>
          </w:p>
        </w:tc>
      </w:tr>
      <w:tr>
        <w:tc>
          <w:tcPr>
            <w:tcW w:w="1034" w:type="dxa"/>
          </w:tcPr>
          <w:p>
            <w:pPr/>
            <w:r>
              <w:t xml:space="preserve">A2</w:t>
            </w:r>
          </w:p>
        </w:tc>
        <w:tc>
          <w:tcPr>
            <w:tcW w:w="7066" w:type="dxa"/>
          </w:tcPr>
          <w:p>
            <w:pPr/>
            <w:r>
              <w:t xml:space="preserve">Define the MVP scope for the v2 launch as a MoSCoW list (Must / Should / Could / Won't), with at least 3 items in Must and 2 in Won't.</w:t>
            </w:r>
          </w:p>
        </w:tc>
        <w:tc>
          <w:tcPr>
            <w:tcW w:w="1259" w:type="dxa"/>
          </w:tcPr>
          <w:p>
            <w:pPr/>
            <w:r>
              <w:t xml:space="preserve">4</w:t>
            </w:r>
          </w:p>
        </w:tc>
      </w:tr>
      <w:tr>
        <w:tc>
          <w:tcPr>
            <w:tcW w:w="1034" w:type="dxa"/>
          </w:tcPr>
          <w:p>
            <w:pPr/>
            <w:r>
              <w:t xml:space="preserve">A3</w:t>
            </w:r>
          </w:p>
        </w:tc>
        <w:tc>
          <w:tcPr>
            <w:tcW w:w="7066" w:type="dxa"/>
          </w:tcPr>
          <w:p>
            <w:pPr/>
            <w:r>
              <w:t xml:space="preserve">List the non-functional requirements as measurable targets (latency, availability, consistency, security, compliance, cost). Mark which ones drive the architecture most and why.</w:t>
            </w:r>
          </w:p>
        </w:tc>
        <w:tc>
          <w:tcPr>
            <w:tcW w:w="1259" w:type="dxa"/>
          </w:tcPr>
          <w:p>
            <w:pPr/>
            <w:r>
              <w:t xml:space="preserve">4</w:t>
            </w:r>
          </w:p>
        </w:tc>
      </w:tr>
      <w:tr>
        <w:tc>
          <w:tcPr>
            <w:tcW w:w="1034" w:type="dxa"/>
          </w:tcPr>
          <w:p>
            <w:pPr/>
            <w:r>
              <w:t xml:space="preserve">A4</w:t>
            </w:r>
          </w:p>
        </w:tc>
        <w:tc>
          <w:tcPr>
            <w:tcW w:w="7066" w:type="dxa"/>
          </w:tcPr>
          <w:p>
            <w:pPr/>
            <w:r>
              <w:t xml:space="preserve">Define 4 success metrics: one north-star metric, two supporting product metrics and one guardrail metric. Give each a target.</w:t>
            </w:r>
          </w:p>
        </w:tc>
        <w:tc>
          <w:tcPr>
            <w:tcW w:w="1259" w:type="dxa"/>
          </w:tcPr>
          <w:p>
            <w:pPr/>
            <w:r>
              <w:t xml:space="preserve">3</w:t>
            </w:r>
          </w:p>
        </w:tc>
      </w:tr>
      <w:tr>
        <w:tc>
          <w:tcPr>
            <w:tcW w:w="1034" w:type="dxa"/>
          </w:tcPr>
          <w:p>
            <w:pPr/>
            <w:r>
              <w:t xml:space="preserve">A5</w:t>
            </w:r>
          </w:p>
        </w:tc>
        <w:tc>
          <w:tcPr>
            <w:tcW w:w="7066" w:type="dxa"/>
          </w:tcPr>
          <w:p>
            <w:pPr/>
            <w:r>
              <w:t xml:space="preserve">Name the top 3 product or technical risks for the launch and a mitigation for each (e.g. bots buying out a sale).</w:t>
            </w:r>
          </w:p>
        </w:tc>
        <w:tc>
          <w:tcPr>
            <w:tcW w:w="1259" w:type="dxa"/>
          </w:tcPr>
          <w:p>
            <w:pPr/>
            <w:r>
              <w:t xml:space="preserve">2</w:t>
            </w:r>
          </w:p>
        </w:tc>
      </w:tr>
    </w:tbl>
    <w:p>
      <w:pPr/>
      <w:r>
        <w:rPr>
          <w:b/>
        </w:rPr>
        <w:t xml:space="preserve">Expected output:</w:t>
      </w:r>
      <w:r>
        <w:t xml:space="preserve"> about one page. Tables or bullets are fine; no essays.</w:t>
      </w:r>
    </w:p>
    <w:p>
      <w:pPr>
        <w:pStyle w:val="Heading2"/>
      </w:pPr>
      <w:r>
        <w:t xml:space="preserve">Part B: Domain-Driven Design (35 min, 20 marks)</w:t>
      </w:r>
    </w:p>
    <w:p>
      <w:pPr/>
      <w:r>
        <w:t xml:space="preserve">Model the SeatSure domain so that the hardest business rule (never oversell) is protected by the model itself, not by luck.</w:t>
      </w:r>
    </w:p>
    <w:tbl>
      <w:tblPr>
        <w:tblStyle w:val="TableGrid"/>
        <w:tblW w:w="0" w:type="auto"/>
        <w:tblLayout w:type="fixed"/>
        <w:tblLook w:val="04A0" w:firstRow="1" w:lastRow="0" w:firstColumn="0" w:lastColumn="0" w:noHBand="0" w:noVBand="1"/>
      </w:tblPr>
      <w:tblGrid>
        <w:gridCol w:w="1034"/>
        <w:gridCol w:w="7066"/>
        <w:gridCol w:w="1259"/>
      </w:tblGrid>
      <w:tr>
        <w:trPr>
          <w:tblHeader/>
        </w:trPr>
        <w:tc>
          <w:tcPr>
            <w:tcW w:w="1034" w:type="dxa"/>
            <w:shd w:val="clear" w:color="auto" w:fill="F2F2F2"/>
          </w:tcPr>
          <w:p>
            <w:pPr/>
            <w:r>
              <w:t xml:space="preserve">#</w:t>
            </w:r>
          </w:p>
        </w:tc>
        <w:tc>
          <w:tcPr>
            <w:tcW w:w="7066" w:type="dxa"/>
            <w:shd w:val="clear" w:color="auto" w:fill="F2F2F2"/>
          </w:tcPr>
          <w:p>
            <w:pPr/>
            <w:r>
              <w:t xml:space="preserve">Task</w:t>
            </w:r>
          </w:p>
        </w:tc>
        <w:tc>
          <w:tcPr>
            <w:tcW w:w="1259" w:type="dxa"/>
            <w:shd w:val="clear" w:color="auto" w:fill="F2F2F2"/>
          </w:tcPr>
          <w:p>
            <w:pPr/>
            <w:r>
              <w:t xml:space="preserve">Marks</w:t>
            </w:r>
          </w:p>
        </w:tc>
      </w:tr>
      <w:tr>
        <w:tc>
          <w:tcPr>
            <w:tcW w:w="1034" w:type="dxa"/>
          </w:tcPr>
          <w:p>
            <w:pPr/>
            <w:r>
              <w:t xml:space="preserve">B1</w:t>
            </w:r>
          </w:p>
        </w:tc>
        <w:tc>
          <w:tcPr>
            <w:tcW w:w="7066" w:type="dxa"/>
          </w:tcPr>
          <w:p>
            <w:pPr/>
            <w:r>
              <w:t xml:space="preserve">Identify the </w:t>
            </w:r>
            <w:r>
              <w:rPr>
                <w:b/>
              </w:rPr>
              <w:t xml:space="preserve">subdomains</w:t>
            </w:r>
            <w:r>
              <w:t xml:space="preserve"> and classify each as Core, Supporting or Generic. Justify the Core choice in one sentence.</w:t>
            </w:r>
          </w:p>
        </w:tc>
        <w:tc>
          <w:tcPr>
            <w:tcW w:w="1259" w:type="dxa"/>
          </w:tcPr>
          <w:p>
            <w:pPr/>
            <w:r>
              <w:t xml:space="preserve">3</w:t>
            </w:r>
          </w:p>
        </w:tc>
      </w:tr>
      <w:tr>
        <w:tc>
          <w:tcPr>
            <w:tcW w:w="1034" w:type="dxa"/>
          </w:tcPr>
          <w:p>
            <w:pPr/>
            <w:r>
              <w:t xml:space="preserve">B2</w:t>
            </w:r>
          </w:p>
        </w:tc>
        <w:tc>
          <w:tcPr>
            <w:tcW w:w="7066" w:type="dxa"/>
          </w:tcPr>
          <w:p>
            <w:pPr/>
            <w:r>
              <w:t xml:space="preserve">Define the </w:t>
            </w:r>
            <w:r>
              <w:rPr>
                <w:b/>
              </w:rPr>
              <w:t xml:space="preserve">bounded contexts</w:t>
            </w:r>
            <w:r>
              <w:t xml:space="preserve"> (5 to 8). For each, give its responsibility in one line and 3 to 5 terms of its ubiquitous language. Show where the same word means different things in two contexts (hint: "Event", "Order" or "Ticket").</w:t>
            </w:r>
          </w:p>
        </w:tc>
        <w:tc>
          <w:tcPr>
            <w:tcW w:w="1259" w:type="dxa"/>
          </w:tcPr>
          <w:p>
            <w:pPr/>
            <w:r>
              <w:t xml:space="preserve">4</w:t>
            </w:r>
          </w:p>
        </w:tc>
      </w:tr>
      <w:tr>
        <w:tc>
          <w:tcPr>
            <w:tcW w:w="1034" w:type="dxa"/>
          </w:tcPr>
          <w:p>
            <w:pPr/>
            <w:r>
              <w:t xml:space="preserve">B3</w:t>
            </w:r>
          </w:p>
        </w:tc>
        <w:tc>
          <w:tcPr>
            <w:tcW w:w="7066" w:type="dxa"/>
          </w:tcPr>
          <w:p>
            <w:pPr/>
            <w:r>
              <w:t xml:space="preserve">Draw a </w:t>
            </w:r>
            <w:r>
              <w:rPr>
                <w:b/>
              </w:rPr>
              <w:t xml:space="preserve">context map</w:t>
            </w:r>
            <w:r>
              <w:t xml:space="preserve"> showing relationships between contexts. Label each relationship with a DDD pattern: Customer/Supplier, Conformist, Anti-Corruption Layer, Open Host Service, Published Language or Shared Kernel.</w:t>
            </w:r>
          </w:p>
        </w:tc>
        <w:tc>
          <w:tcPr>
            <w:tcW w:w="1259" w:type="dxa"/>
          </w:tcPr>
          <w:p>
            <w:pPr/>
            <w:r>
              <w:t xml:space="preserve">4</w:t>
            </w:r>
          </w:p>
        </w:tc>
      </w:tr>
      <w:tr>
        <w:tc>
          <w:tcPr>
            <w:tcW w:w="1034" w:type="dxa"/>
          </w:tcPr>
          <w:p>
            <w:pPr/>
            <w:r>
              <w:t xml:space="preserve">B4</w:t>
            </w:r>
          </w:p>
        </w:tc>
        <w:tc>
          <w:tcPr>
            <w:tcW w:w="7066" w:type="dxa"/>
          </w:tcPr>
          <w:p>
            <w:pPr/>
            <w:r>
              <w:t xml:space="preserve">For the Core context, design the </w:t>
            </w:r>
            <w:r>
              <w:rPr>
                <w:b/>
              </w:rPr>
              <w:t xml:space="preserve">aggregates</w:t>
            </w:r>
            <w:r>
              <w:t xml:space="preserve">. For each: aggregate root, entities, value objects, and the invariants it enforces. Explain how your aggregate boundary prevents overselling when 5,000 hold requests per second hit one stadium event.</w:t>
            </w:r>
          </w:p>
        </w:tc>
        <w:tc>
          <w:tcPr>
            <w:tcW w:w="1259" w:type="dxa"/>
          </w:tcPr>
          <w:p>
            <w:pPr/>
            <w:r>
              <w:t xml:space="preserve">5</w:t>
            </w:r>
          </w:p>
        </w:tc>
      </w:tr>
      <w:tr>
        <w:tc>
          <w:tcPr>
            <w:tcW w:w="1034" w:type="dxa"/>
          </w:tcPr>
          <w:p>
            <w:pPr/>
            <w:r>
              <w:t xml:space="preserve">B5</w:t>
            </w:r>
          </w:p>
        </w:tc>
        <w:tc>
          <w:tcPr>
            <w:tcW w:w="7066" w:type="dxa"/>
          </w:tcPr>
          <w:p>
            <w:pPr/>
            <w:r>
              <w:t xml:space="preserve">List the </w:t>
            </w:r>
            <w:r>
              <w:rPr>
                <w:b/>
              </w:rPr>
              <w:t xml:space="preserve">domain events</w:t>
            </w:r>
            <w:r>
              <w:t xml:space="preserve"> (at least 8) in past tense, with the publishing context and at least one consumer each. Describe the </w:t>
            </w:r>
            <w:r>
              <w:rPr>
                <w:b/>
              </w:rPr>
              <w:t xml:space="preserve">hold → pay → issue ticket</w:t>
            </w:r>
            <w:r>
              <w:t xml:space="preserve"> flow as a saga, including what happens when the hold expires before payment arrives.</w:t>
            </w:r>
          </w:p>
        </w:tc>
        <w:tc>
          <w:tcPr>
            <w:tcW w:w="1259" w:type="dxa"/>
          </w:tcPr>
          <w:p>
            <w:pPr/>
            <w:r>
              <w:t xml:space="preserve">4</w:t>
            </w:r>
          </w:p>
        </w:tc>
      </w:tr>
    </w:tbl>
    <w:p>
      <w:pPr/>
      <w:r>
        <w:rPr>
          <w:b/>
        </w:rPr>
        <w:t xml:space="preserve">Expected output:</w:t>
      </w:r>
      <w:r>
        <w:t xml:space="preserve"> a context-map diagram, an aggregate sketch (class-style or tables) and a domain-event table.</w:t>
      </w:r>
    </w:p>
    <w:p>
      <w:pPr>
        <w:pStyle w:val="Heading2"/>
      </w:pPr>
      <w:r>
        <w:t xml:space="preserve">Part C: API Design (35 min, 20 marks)</w:t>
      </w:r>
    </w:p>
    <w:p>
      <w:pPr/>
      <w:r>
        <w:t xml:space="preserve">Design the public API the fan web/mobile apps and the payment gateway will call. Your APIs should map onto the bounded contexts from Part B.</w:t>
      </w:r>
    </w:p>
    <w:tbl>
      <w:tblPr>
        <w:tblStyle w:val="TableGrid"/>
        <w:tblW w:w="0" w:type="auto"/>
        <w:tblLayout w:type="fixed"/>
        <w:tblLook w:val="04A0" w:firstRow="1" w:lastRow="0" w:firstColumn="0" w:lastColumn="0" w:noHBand="0" w:noVBand="1"/>
      </w:tblPr>
      <w:tblGrid>
        <w:gridCol w:w="1034"/>
        <w:gridCol w:w="7066"/>
        <w:gridCol w:w="1259"/>
      </w:tblGrid>
      <w:tr>
        <w:trPr>
          <w:tblHeader/>
        </w:trPr>
        <w:tc>
          <w:tcPr>
            <w:tcW w:w="1034" w:type="dxa"/>
            <w:shd w:val="clear" w:color="auto" w:fill="F2F2F2"/>
          </w:tcPr>
          <w:p>
            <w:pPr/>
            <w:r>
              <w:t xml:space="preserve">#</w:t>
            </w:r>
          </w:p>
        </w:tc>
        <w:tc>
          <w:tcPr>
            <w:tcW w:w="7066" w:type="dxa"/>
            <w:shd w:val="clear" w:color="auto" w:fill="F2F2F2"/>
          </w:tcPr>
          <w:p>
            <w:pPr/>
            <w:r>
              <w:t xml:space="preserve">Task</w:t>
            </w:r>
          </w:p>
        </w:tc>
        <w:tc>
          <w:tcPr>
            <w:tcW w:w="1259" w:type="dxa"/>
            <w:shd w:val="clear" w:color="auto" w:fill="F2F2F2"/>
          </w:tcPr>
          <w:p>
            <w:pPr/>
            <w:r>
              <w:t xml:space="preserve">Marks</w:t>
            </w:r>
          </w:p>
        </w:tc>
      </w:tr>
      <w:tr>
        <w:tc>
          <w:tcPr>
            <w:tcW w:w="1034" w:type="dxa"/>
          </w:tcPr>
          <w:p>
            <w:pPr/>
            <w:r>
              <w:t xml:space="preserve">C1</w:t>
            </w:r>
          </w:p>
        </w:tc>
        <w:tc>
          <w:tcPr>
            <w:tcW w:w="7066" w:type="dxa"/>
          </w:tcPr>
          <w:p>
            <w:pPr/>
            <w:r>
              <w:t xml:space="preserve">Define the </w:t>
            </w:r>
            <w:r>
              <w:rPr>
                <w:b/>
              </w:rPr>
              <w:t xml:space="preserve">resource model</w:t>
            </w:r>
            <w:r>
              <w:t xml:space="preserve"> and list the endpoints (method + path + one-line purpose) for: event search and detail, seat availability for an event, creating and releasing a seat hold, creating an order, confirming payment, fetching tickets, cancelling/refunding. 10 to 15 endpoints.</w:t>
            </w:r>
          </w:p>
        </w:tc>
        <w:tc>
          <w:tcPr>
            <w:tcW w:w="1259" w:type="dxa"/>
          </w:tcPr>
          <w:p>
            <w:pPr/>
            <w:r>
              <w:t xml:space="preserve">5</w:t>
            </w:r>
          </w:p>
        </w:tc>
      </w:tr>
      <w:tr>
        <w:tc>
          <w:tcPr>
            <w:tcW w:w="1034" w:type="dxa"/>
          </w:tcPr>
          <w:p>
            <w:pPr/>
            <w:r>
              <w:t xml:space="preserve">C2</w:t>
            </w:r>
          </w:p>
        </w:tc>
        <w:tc>
          <w:tcPr>
            <w:tcW w:w="7066" w:type="dxa"/>
          </w:tcPr>
          <w:p>
            <w:pPr/>
            <w:r>
              <w:t xml:space="preserve">Write full request/response examples (JSON) for </w:t>
            </w:r>
            <w:r>
              <w:rPr>
                <w:b/>
              </w:rPr>
              <w:t xml:space="preserve">POST create-hold</w:t>
            </w:r>
            <w:r>
              <w:t xml:space="preserve"> and </w:t>
            </w:r>
            <w:r>
              <w:rPr>
                <w:b/>
              </w:rPr>
              <w:t xml:space="preserve">POST create-order</w:t>
            </w:r>
            <w:r>
              <w:t xml:space="preserve">, including the success response, a 409 conflict (seat already taken) and a 422 validation error. Use one consistent error format (e.g. RFC 9457 Problem Details).</w:t>
            </w:r>
          </w:p>
        </w:tc>
        <w:tc>
          <w:tcPr>
            <w:tcW w:w="1259" w:type="dxa"/>
          </w:tcPr>
          <w:p>
            <w:pPr/>
            <w:r>
              <w:t xml:space="preserve">4</w:t>
            </w:r>
          </w:p>
        </w:tc>
      </w:tr>
      <w:tr>
        <w:tc>
          <w:tcPr>
            <w:tcW w:w="1034" w:type="dxa"/>
          </w:tcPr>
          <w:p>
            <w:pPr/>
            <w:r>
              <w:t xml:space="preserve">C3</w:t>
            </w:r>
          </w:p>
        </w:tc>
        <w:tc>
          <w:tcPr>
            <w:tcW w:w="7066" w:type="dxa"/>
          </w:tcPr>
          <w:p>
            <w:pPr/>
            <w:r>
              <w:t xml:space="preserve">Explain how you make order creation and payment confirmation </w:t>
            </w:r>
            <w:r>
              <w:rPr>
                <w:b/>
              </w:rPr>
              <w:t xml:space="preserve">idempotent</w:t>
            </w:r>
            <w:r>
              <w:t xml:space="preserve">. Cover client retries and duplicate gateway webhooks. Name the header/key and where it is stored.</w:t>
            </w:r>
          </w:p>
        </w:tc>
        <w:tc>
          <w:tcPr>
            <w:tcW w:w="1259" w:type="dxa"/>
          </w:tcPr>
          <w:p>
            <w:pPr/>
            <w:r>
              <w:t xml:space="preserve">4</w:t>
            </w:r>
          </w:p>
        </w:tc>
      </w:tr>
      <w:tr>
        <w:tc>
          <w:tcPr>
            <w:tcW w:w="1034" w:type="dxa"/>
          </w:tcPr>
          <w:p>
            <w:pPr/>
            <w:r>
              <w:t xml:space="preserve">C4</w:t>
            </w:r>
          </w:p>
        </w:tc>
        <w:tc>
          <w:tcPr>
            <w:tcW w:w="7066" w:type="dxa"/>
          </w:tcPr>
          <w:p>
            <w:pPr/>
            <w:r>
              <w:t xml:space="preserve">Design the </w:t>
            </w:r>
            <w:r>
              <w:rPr>
                <w:b/>
              </w:rPr>
              <w:t xml:space="preserve">payment webhook</w:t>
            </w:r>
            <w:r>
              <w:t xml:space="preserve"> endpoint: authentication (signature verification), replay protection, response codes, and what the handler does synchronously versus asynchronously.</w:t>
            </w:r>
          </w:p>
        </w:tc>
        <w:tc>
          <w:tcPr>
            <w:tcW w:w="1259" w:type="dxa"/>
          </w:tcPr>
          <w:p>
            <w:pPr/>
            <w:r>
              <w:t xml:space="preserve">3</w:t>
            </w:r>
          </w:p>
        </w:tc>
      </w:tr>
      <w:tr>
        <w:tc>
          <w:tcPr>
            <w:tcW w:w="1034" w:type="dxa"/>
          </w:tcPr>
          <w:p>
            <w:pPr/>
            <w:r>
              <w:t xml:space="preserve">C5</w:t>
            </w:r>
          </w:p>
        </w:tc>
        <w:tc>
          <w:tcPr>
            <w:tcW w:w="7066" w:type="dxa"/>
          </w:tcPr>
          <w:p>
            <w:pPr/>
            <w:r>
              <w:t xml:space="preserve">State your choices for: authentication and authorisation (fan vs organiser vs staff), pagination, versioning, rate limiting per user and per IP, and how seat availability stays fresh on the seat map (polling, SSE or WebSocket — justify).</w:t>
            </w:r>
          </w:p>
        </w:tc>
        <w:tc>
          <w:tcPr>
            <w:tcW w:w="1259" w:type="dxa"/>
          </w:tcPr>
          <w:p>
            <w:pPr/>
            <w:r>
              <w:t xml:space="preserve">4</w:t>
            </w:r>
          </w:p>
        </w:tc>
      </w:tr>
    </w:tbl>
    <w:p>
      <w:pPr/>
      <w:r>
        <w:rPr>
          <w:b/>
        </w:rPr>
        <w:t xml:space="preserve">Expected output:</w:t>
      </w:r>
      <w:r>
        <w:t xml:space="preserve"> an endpoint table, JSON examples, and short notes. An OpenAPI fragment for one endpoint earns credit but is not required.</w:t>
      </w:r>
    </w:p>
    <w:p>
      <w:pPr>
        <w:pStyle w:val="Heading2"/>
      </w:pPr>
      <w:r>
        <w:t xml:space="preserve">Part D: Production Infrastructure Architecture (50 min, 30 marks)</w:t>
      </w:r>
    </w:p>
    <w:p>
      <w:pPr/>
      <w:r>
        <w:t xml:space="preserve">Design the production infrastructure twice: once on managed AWS services (SeatSure's own deployment) and once on a vendor-neutral Kubernetes cluster (the enterprise client's on-prem or any-cloud deployment). The same services and data stores from Parts B and C must run on both. Draw one architecture diagram per stack.</w:t>
      </w:r>
    </w:p>
    <w:p>
      <w:pPr>
        <w:pStyle w:val="Heading3"/>
      </w:pPr>
      <w:r>
        <w:t xml:space="preserve">D1: AWS (25 min, 15 marks)</w:t>
      </w:r>
    </w:p>
    <w:tbl>
      <w:tblPr>
        <w:tblStyle w:val="TableGrid"/>
        <w:tblW w:w="0" w:type="auto"/>
        <w:tblLayout w:type="fixed"/>
        <w:tblLook w:val="04A0" w:firstRow="1" w:lastRow="0" w:firstColumn="0" w:lastColumn="0" w:noHBand="0" w:noVBand="1"/>
      </w:tblPr>
      <w:tblGrid>
        <w:gridCol w:w="1034"/>
        <w:gridCol w:w="7066"/>
        <w:gridCol w:w="1259"/>
      </w:tblGrid>
      <w:tr>
        <w:trPr>
          <w:tblHeader/>
        </w:trPr>
        <w:tc>
          <w:tcPr>
            <w:tcW w:w="1034" w:type="dxa"/>
            <w:shd w:val="clear" w:color="auto" w:fill="F2F2F2"/>
          </w:tcPr>
          <w:p>
            <w:pPr/>
            <w:r>
              <w:t xml:space="preserve">#</w:t>
            </w:r>
          </w:p>
        </w:tc>
        <w:tc>
          <w:tcPr>
            <w:tcW w:w="7066" w:type="dxa"/>
            <w:shd w:val="clear" w:color="auto" w:fill="F2F2F2"/>
          </w:tcPr>
          <w:p>
            <w:pPr/>
            <w:r>
              <w:t xml:space="preserve">Task</w:t>
            </w:r>
          </w:p>
        </w:tc>
        <w:tc>
          <w:tcPr>
            <w:tcW w:w="1259" w:type="dxa"/>
            <w:shd w:val="clear" w:color="auto" w:fill="F2F2F2"/>
          </w:tcPr>
          <w:p>
            <w:pPr/>
            <w:r>
              <w:t xml:space="preserve">Marks</w:t>
            </w:r>
          </w:p>
        </w:tc>
      </w:tr>
      <w:tr>
        <w:tc>
          <w:tcPr>
            <w:tcW w:w="1034" w:type="dxa"/>
          </w:tcPr>
          <w:p>
            <w:pPr/>
            <w:r>
              <w:t xml:space="preserve">D1.1</w:t>
            </w:r>
          </w:p>
        </w:tc>
        <w:tc>
          <w:tcPr>
            <w:tcW w:w="7066" w:type="dxa"/>
          </w:tcPr>
          <w:p>
            <w:pPr/>
            <w:r>
              <w:t xml:space="preserve">Draw the architecture: edge (DNS, CDN, WAF), compute, data stores, cache, messaging, secrets, observability. Show VPC layout with public and private subnets across at least 2 Availability Zones. Name the specific AWS service for every box.</w:t>
            </w:r>
          </w:p>
        </w:tc>
        <w:tc>
          <w:tcPr>
            <w:tcW w:w="1259" w:type="dxa"/>
          </w:tcPr>
          <w:p>
            <w:pPr/>
            <w:r>
              <w:t xml:space="preserve">6</w:t>
            </w:r>
          </w:p>
        </w:tc>
      </w:tr>
      <w:tr>
        <w:tc>
          <w:tcPr>
            <w:tcW w:w="1034" w:type="dxa"/>
          </w:tcPr>
          <w:p>
            <w:pPr/>
            <w:r>
              <w:t xml:space="preserve">D1.2</w:t>
            </w:r>
          </w:p>
        </w:tc>
        <w:tc>
          <w:tcPr>
            <w:tcW w:w="7066" w:type="dxa"/>
          </w:tcPr>
          <w:p>
            <w:pPr/>
            <w:r>
              <w:t xml:space="preserve">Explain how the design survives the </w:t>
            </w:r>
            <w:r>
              <w:rPr>
                <w:b/>
              </w:rPr>
              <w:t xml:space="preserve">300,000-user on-sale spike</w:t>
            </w:r>
            <w:r>
              <w:t xml:space="preserve">: virtual waiting room / admission control, autoscaling policy, where the seat-hold state lives and why.</w:t>
            </w:r>
          </w:p>
        </w:tc>
        <w:tc>
          <w:tcPr>
            <w:tcW w:w="1259" w:type="dxa"/>
          </w:tcPr>
          <w:p>
            <w:pPr/>
            <w:r>
              <w:t xml:space="preserve">4</w:t>
            </w:r>
          </w:p>
        </w:tc>
      </w:tr>
      <w:tr>
        <w:tc>
          <w:tcPr>
            <w:tcW w:w="1034" w:type="dxa"/>
          </w:tcPr>
          <w:p>
            <w:pPr/>
            <w:r>
              <w:t xml:space="preserve">D1.3</w:t>
            </w:r>
          </w:p>
        </w:tc>
        <w:tc>
          <w:tcPr>
            <w:tcW w:w="7066" w:type="dxa"/>
          </w:tcPr>
          <w:p>
            <w:pPr/>
            <w:r>
              <w:t xml:space="preserve">Describe backup, multi-AZ and disaster recovery for RPO 5 min / RTO 30 min, using </w:t>
            </w:r>
            <w:r>
              <w:rPr>
                <w:rStyle w:val="CodeChar"/>
              </w:rPr>
              <w:t xml:space="preserve">ap-south-2</w:t>
            </w:r>
            <w:r>
              <w:t xml:space="preserve"> as the DR region. State which DR pattern you chose (backup-restore, pilot light, warm standby, active-active) and why.</w:t>
            </w:r>
          </w:p>
        </w:tc>
        <w:tc>
          <w:tcPr>
            <w:tcW w:w="1259" w:type="dxa"/>
          </w:tcPr>
          <w:p>
            <w:pPr/>
            <w:r>
              <w:t xml:space="preserve">3</w:t>
            </w:r>
          </w:p>
        </w:tc>
      </w:tr>
      <w:tr>
        <w:tc>
          <w:tcPr>
            <w:tcW w:w="1034" w:type="dxa"/>
          </w:tcPr>
          <w:p>
            <w:pPr/>
            <w:r>
              <w:t xml:space="preserve">D1.4</w:t>
            </w:r>
          </w:p>
        </w:tc>
        <w:tc>
          <w:tcPr>
            <w:tcW w:w="7066" w:type="dxa"/>
          </w:tcPr>
          <w:p>
            <w:pPr/>
            <w:r>
              <w:t xml:space="preserve">Name 3 security controls (network, identity, data) and one cost-control measure.</w:t>
            </w:r>
          </w:p>
        </w:tc>
        <w:tc>
          <w:tcPr>
            <w:tcW w:w="1259" w:type="dxa"/>
          </w:tcPr>
          <w:p>
            <w:pPr/>
            <w:r>
              <w:t xml:space="preserve">2</w:t>
            </w:r>
          </w:p>
        </w:tc>
      </w:tr>
    </w:tbl>
    <w:p>
      <w:pPr>
        <w:pStyle w:val="Heading3"/>
      </w:pPr>
      <w:r>
        <w:t xml:space="preserve">D2: Kubernetes (25 min, 15 marks)</w:t>
      </w:r>
    </w:p>
    <w:p>
      <w:pPr/>
      <w:r>
        <w:t xml:space="preserve">Assume a CNCF-conformant cluster with no cloud-managed databases available. Use open-source components only.</w:t>
      </w:r>
    </w:p>
    <w:tbl>
      <w:tblPr>
        <w:tblStyle w:val="TableGrid"/>
        <w:tblW w:w="0" w:type="auto"/>
        <w:tblLayout w:type="fixed"/>
        <w:tblLook w:val="04A0" w:firstRow="1" w:lastRow="0" w:firstColumn="0" w:lastColumn="0" w:noHBand="0" w:noVBand="1"/>
      </w:tblPr>
      <w:tblGrid>
        <w:gridCol w:w="1034"/>
        <w:gridCol w:w="7066"/>
        <w:gridCol w:w="1259"/>
      </w:tblGrid>
      <w:tr>
        <w:trPr>
          <w:tblHeader/>
        </w:trPr>
        <w:tc>
          <w:tcPr>
            <w:tcW w:w="1034" w:type="dxa"/>
            <w:shd w:val="clear" w:color="auto" w:fill="F2F2F2"/>
          </w:tcPr>
          <w:p>
            <w:pPr/>
            <w:r>
              <w:t xml:space="preserve">#</w:t>
            </w:r>
          </w:p>
        </w:tc>
        <w:tc>
          <w:tcPr>
            <w:tcW w:w="7066" w:type="dxa"/>
            <w:shd w:val="clear" w:color="auto" w:fill="F2F2F2"/>
          </w:tcPr>
          <w:p>
            <w:pPr/>
            <w:r>
              <w:t xml:space="preserve">Task</w:t>
            </w:r>
          </w:p>
        </w:tc>
        <w:tc>
          <w:tcPr>
            <w:tcW w:w="1259" w:type="dxa"/>
            <w:shd w:val="clear" w:color="auto" w:fill="F2F2F2"/>
          </w:tcPr>
          <w:p>
            <w:pPr/>
            <w:r>
              <w:t xml:space="preserve">Marks</w:t>
            </w:r>
          </w:p>
        </w:tc>
      </w:tr>
      <w:tr>
        <w:tc>
          <w:tcPr>
            <w:tcW w:w="1034" w:type="dxa"/>
          </w:tcPr>
          <w:p>
            <w:pPr/>
            <w:r>
              <w:t xml:space="preserve">D2.1</w:t>
            </w:r>
          </w:p>
        </w:tc>
        <w:tc>
          <w:tcPr>
            <w:tcW w:w="7066" w:type="dxa"/>
          </w:tcPr>
          <w:p>
            <w:pPr/>
            <w:r>
              <w:t xml:space="preserve">Draw the architecture: ingress/gateway, namespaces, workloads (Deployment vs StatefulSet), services, data stores (and how they are operated, e.g. operators), message broker, cache, secrets, observability stack.</w:t>
            </w:r>
          </w:p>
        </w:tc>
        <w:tc>
          <w:tcPr>
            <w:tcW w:w="1259" w:type="dxa"/>
          </w:tcPr>
          <w:p>
            <w:pPr/>
            <w:r>
              <w:t xml:space="preserve">5</w:t>
            </w:r>
          </w:p>
        </w:tc>
      </w:tr>
      <w:tr>
        <w:tc>
          <w:tcPr>
            <w:tcW w:w="1034" w:type="dxa"/>
          </w:tcPr>
          <w:p>
            <w:pPr/>
            <w:r>
              <w:t xml:space="preserve">D2.2</w:t>
            </w:r>
          </w:p>
        </w:tc>
        <w:tc>
          <w:tcPr>
            <w:tcW w:w="7066" w:type="dxa"/>
          </w:tcPr>
          <w:p>
            <w:pPr/>
            <w:r>
              <w:t xml:space="preserve">For the seat-hold service, write the key settings you would apply: resource requests/limits, liveness/readiness/startup probes, HorizontalPodAutoscaler (metric + bounds), PodDisruptionBudget, anti-affinity / topology spread. A short YAML fragment is welcome.</w:t>
            </w:r>
          </w:p>
        </w:tc>
        <w:tc>
          <w:tcPr>
            <w:tcW w:w="1259" w:type="dxa"/>
          </w:tcPr>
          <w:p>
            <w:pPr/>
            <w:r>
              <w:t xml:space="preserve">4</w:t>
            </w:r>
          </w:p>
        </w:tc>
      </w:tr>
      <w:tr>
        <w:tc>
          <w:tcPr>
            <w:tcW w:w="1034" w:type="dxa"/>
          </w:tcPr>
          <w:p>
            <w:pPr/>
            <w:r>
              <w:t xml:space="preserve">D2.3</w:t>
            </w:r>
          </w:p>
        </w:tc>
        <w:tc>
          <w:tcPr>
            <w:tcW w:w="7066" w:type="dxa"/>
          </w:tcPr>
          <w:p>
            <w:pPr/>
            <w:r>
              <w:t xml:space="preserve">Describe security: NetworkPolicies, RBAC, Pod Security Standards, secrets management, image provenance.</w:t>
            </w:r>
          </w:p>
        </w:tc>
        <w:tc>
          <w:tcPr>
            <w:tcW w:w="1259" w:type="dxa"/>
          </w:tcPr>
          <w:p>
            <w:pPr/>
            <w:r>
              <w:t xml:space="preserve">3</w:t>
            </w:r>
          </w:p>
        </w:tc>
      </w:tr>
      <w:tr>
        <w:tc>
          <w:tcPr>
            <w:tcW w:w="1034" w:type="dxa"/>
          </w:tcPr>
          <w:p>
            <w:pPr/>
            <w:r>
              <w:t xml:space="preserve">D2.4</w:t>
            </w:r>
          </w:p>
        </w:tc>
        <w:tc>
          <w:tcPr>
            <w:tcW w:w="7066" w:type="dxa"/>
          </w:tcPr>
          <w:p>
            <w:pPr/>
            <w:r>
              <w:t xml:space="preserve">Map 6 AWS components from D1 to their Kubernetes equivalents in a two-column table, and name one trade-off of running stateful data inside the cluster.</w:t>
            </w:r>
          </w:p>
        </w:tc>
        <w:tc>
          <w:tcPr>
            <w:tcW w:w="1259" w:type="dxa"/>
          </w:tcPr>
          <w:p>
            <w:pPr/>
            <w:r>
              <w:t xml:space="preserve">3</w:t>
            </w:r>
          </w:p>
        </w:tc>
      </w:tr>
    </w:tbl>
    <w:p>
      <w:pPr/>
      <w:r>
        <w:rPr>
          <w:b/>
        </w:rPr>
        <w:t xml:space="preserve">Expected output:</w:t>
      </w:r>
      <w:r>
        <w:t xml:space="preserve"> two diagrams, short notes per task, one YAML fragment, one mapping table.</w:t>
      </w:r>
    </w:p>
    <w:p>
      <w:pPr>
        <w:pStyle w:val="Heading2"/>
      </w:pPr>
      <w:r>
        <w:t xml:space="preserve">Part E: Production Deployment Checklist (20 min, 15 marks)</w:t>
      </w:r>
    </w:p>
    <w:p>
      <w:pPr/>
      <w:r>
        <w:t xml:space="preserve">SeatSure v2 goes live 10 days before a 60,000-seat stadium on-sale. Write the go-live checklist the team will actually sign off against.</w:t>
      </w:r>
    </w:p>
    <w:tbl>
      <w:tblPr>
        <w:tblStyle w:val="TableGrid"/>
        <w:tblW w:w="0" w:type="auto"/>
        <w:tblLayout w:type="fixed"/>
        <w:tblLook w:val="04A0" w:firstRow="1" w:lastRow="0" w:firstColumn="0" w:lastColumn="0" w:noHBand="0" w:noVBand="1"/>
      </w:tblPr>
      <w:tblGrid>
        <w:gridCol w:w="1034"/>
        <w:gridCol w:w="7066"/>
        <w:gridCol w:w="1259"/>
      </w:tblGrid>
      <w:tr>
        <w:trPr>
          <w:tblHeader/>
        </w:trPr>
        <w:tc>
          <w:tcPr>
            <w:tcW w:w="1034" w:type="dxa"/>
            <w:shd w:val="clear" w:color="auto" w:fill="F2F2F2"/>
          </w:tcPr>
          <w:p>
            <w:pPr/>
            <w:r>
              <w:t xml:space="preserve">#</w:t>
            </w:r>
          </w:p>
        </w:tc>
        <w:tc>
          <w:tcPr>
            <w:tcW w:w="7066" w:type="dxa"/>
            <w:shd w:val="clear" w:color="auto" w:fill="F2F2F2"/>
          </w:tcPr>
          <w:p>
            <w:pPr/>
            <w:r>
              <w:t xml:space="preserve">Task</w:t>
            </w:r>
          </w:p>
        </w:tc>
        <w:tc>
          <w:tcPr>
            <w:tcW w:w="1259" w:type="dxa"/>
            <w:shd w:val="clear" w:color="auto" w:fill="F2F2F2"/>
          </w:tcPr>
          <w:p>
            <w:pPr/>
            <w:r>
              <w:t xml:space="preserve">Marks</w:t>
            </w:r>
          </w:p>
        </w:tc>
      </w:tr>
      <w:tr>
        <w:tc>
          <w:tcPr>
            <w:tcW w:w="1034" w:type="dxa"/>
          </w:tcPr>
          <w:p>
            <w:pPr/>
            <w:r>
              <w:t xml:space="preserve">E1</w:t>
            </w:r>
          </w:p>
        </w:tc>
        <w:tc>
          <w:tcPr>
            <w:tcW w:w="7066" w:type="dxa"/>
          </w:tcPr>
          <w:p>
            <w:pPr/>
            <w:r>
              <w:t xml:space="preserve">Write a checklist of </w:t>
            </w:r>
            <w:r>
              <w:rPr>
                <w:b/>
              </w:rPr>
              <w:t xml:space="preserve">at least 20 items</w:t>
            </w:r>
            <w:r>
              <w:t xml:space="preserve"> grouped under: Code &amp; build, Security &amp; compliance, Data &amp; migrations, Reliability &amp; performance, Observability &amp; alerting, Release &amp; rollback, Operations &amp; people. Every item must be verifiable (yes/no), not an aspiration.</w:t>
            </w:r>
          </w:p>
        </w:tc>
        <w:tc>
          <w:tcPr>
            <w:tcW w:w="1259" w:type="dxa"/>
          </w:tcPr>
          <w:p>
            <w:pPr/>
            <w:r>
              <w:t xml:space="preserve">8</w:t>
            </w:r>
          </w:p>
        </w:tc>
      </w:tr>
      <w:tr>
        <w:tc>
          <w:tcPr>
            <w:tcW w:w="1034" w:type="dxa"/>
          </w:tcPr>
          <w:p>
            <w:pPr/>
            <w:r>
              <w:t xml:space="preserve">E2</w:t>
            </w:r>
          </w:p>
        </w:tc>
        <w:tc>
          <w:tcPr>
            <w:tcW w:w="7066" w:type="dxa"/>
          </w:tcPr>
          <w:p>
            <w:pPr/>
            <w:r>
              <w:t xml:space="preserve">Describe the </w:t>
            </w:r>
            <w:r>
              <w:rPr>
                <w:b/>
              </w:rPr>
              <w:t xml:space="preserve">release strategy</w:t>
            </w:r>
            <w:r>
              <w:t xml:space="preserve"> for the first production deploy and for later deploys (blue/green, canary, feature flags). Include the automatic rollback trigger (which metric, which threshold).</w:t>
            </w:r>
          </w:p>
        </w:tc>
        <w:tc>
          <w:tcPr>
            <w:tcW w:w="1259" w:type="dxa"/>
          </w:tcPr>
          <w:p>
            <w:pPr/>
            <w:r>
              <w:t xml:space="preserve">3</w:t>
            </w:r>
          </w:p>
        </w:tc>
      </w:tr>
      <w:tr>
        <w:tc>
          <w:tcPr>
            <w:tcW w:w="1034" w:type="dxa"/>
          </w:tcPr>
          <w:p>
            <w:pPr/>
            <w:r>
              <w:t xml:space="preserve">E3</w:t>
            </w:r>
          </w:p>
        </w:tc>
        <w:tc>
          <w:tcPr>
            <w:tcW w:w="7066" w:type="dxa"/>
          </w:tcPr>
          <w:p>
            <w:pPr/>
            <w:r>
              <w:t xml:space="preserve">Describe the </w:t>
            </w:r>
            <w:r>
              <w:rPr>
                <w:b/>
              </w:rPr>
              <w:t xml:space="preserve">data migration and cutover</w:t>
            </w:r>
            <w:r>
              <w:t xml:space="preserve"> from the old Django monolith: how existing users, events and already-sold tickets move, and how you avoid downtime or double-sold seats during the switch.</w:t>
            </w:r>
          </w:p>
        </w:tc>
        <w:tc>
          <w:tcPr>
            <w:tcW w:w="1259" w:type="dxa"/>
          </w:tcPr>
          <w:p>
            <w:pPr/>
            <w:r>
              <w:t xml:space="preserve">2</w:t>
            </w:r>
          </w:p>
        </w:tc>
      </w:tr>
      <w:tr>
        <w:tc>
          <w:tcPr>
            <w:tcW w:w="1034" w:type="dxa"/>
          </w:tcPr>
          <w:p>
            <w:pPr/>
            <w:r>
              <w:t xml:space="preserve">E4</w:t>
            </w:r>
          </w:p>
        </w:tc>
        <w:tc>
          <w:tcPr>
            <w:tcW w:w="7066" w:type="dxa"/>
          </w:tcPr>
          <w:p>
            <w:pPr/>
            <w:r>
              <w:t xml:space="preserve">Write the </w:t>
            </w:r>
            <w:r>
              <w:rPr>
                <w:b/>
              </w:rPr>
              <w:t xml:space="preserve">on-sale day runbook</w:t>
            </w:r>
            <w:r>
              <w:t xml:space="preserve"> in 5 to 8 steps, from T-24h to T+2h, including the load test you ran beforehand and the go/no-go decision.</w:t>
            </w:r>
          </w:p>
        </w:tc>
        <w:tc>
          <w:tcPr>
            <w:tcW w:w="1259" w:type="dxa"/>
          </w:tcPr>
          <w:p>
            <w:pPr/>
            <w:r>
              <w:t xml:space="preserve">2</w:t>
            </w:r>
          </w:p>
        </w:tc>
      </w:tr>
    </w:tbl>
    <w:p>
      <w:pPr/>
      <w:r>
        <w:rPr>
          <w:b/>
        </w:rPr>
        <w:t xml:space="preserve">Expected output:</w:t>
      </w:r>
      <w:r>
        <w:t xml:space="preserve"> a checklist in table or checkbox form, plus short notes for E2 to E4.</w:t>
      </w:r>
    </w:p>
    <w:p>
      <w:pPr>
        <w:pStyle w:val="Heading2"/>
      </w:pPr>
      <w:r>
        <w:t xml:space="preserve">Marking scheme and submission checklist</w:t>
      </w:r>
    </w:p>
    <w:p>
      <w:pPr/>
      <w:r>
        <w:t xml:space="preserve">Each task is marked on four criteria. Evaluators score each part against these, then apply the part's mark weight.</w:t>
      </w:r>
    </w:p>
    <w:tbl>
      <w:tblPr>
        <w:tblStyle w:val="TableGrid"/>
        <w:tblW w:w="0" w:type="auto"/>
        <w:tblLayout w:type="fixed"/>
        <w:tblLook w:val="04A0" w:firstRow="1" w:lastRow="0" w:firstColumn="0" w:lastColumn="0" w:noHBand="0" w:noVBand="1"/>
      </w:tblPr>
      <w:tblGrid>
        <w:gridCol w:w="2595"/>
        <w:gridCol w:w="5663"/>
        <w:gridCol w:w="1100"/>
      </w:tblGrid>
      <w:tr>
        <w:trPr>
          <w:tblHeader/>
        </w:trPr>
        <w:tc>
          <w:tcPr>
            <w:tcW w:w="2595" w:type="dxa"/>
            <w:shd w:val="clear" w:color="auto" w:fill="F2F2F2"/>
          </w:tcPr>
          <w:p>
            <w:pPr/>
            <w:r>
              <w:t xml:space="preserve">Criterion</w:t>
            </w:r>
          </w:p>
        </w:tc>
        <w:tc>
          <w:tcPr>
            <w:tcW w:w="5663" w:type="dxa"/>
            <w:shd w:val="clear" w:color="auto" w:fill="F2F2F2"/>
          </w:tcPr>
          <w:p>
            <w:pPr/>
            <w:r>
              <w:t xml:space="preserve">What earns full credit</w:t>
            </w:r>
          </w:p>
        </w:tc>
        <w:tc>
          <w:tcPr>
            <w:tcW w:w="1100" w:type="dxa"/>
            <w:shd w:val="clear" w:color="auto" w:fill="F2F2F2"/>
          </w:tcPr>
          <w:p>
            <w:pPr/>
            <w:r>
              <w:t xml:space="preserve">Weight</w:t>
            </w:r>
          </w:p>
        </w:tc>
      </w:tr>
      <w:tr>
        <w:tc>
          <w:tcPr>
            <w:tcW w:w="2595" w:type="dxa"/>
          </w:tcPr>
          <w:p>
            <w:pPr/>
            <w:r>
              <w:t xml:space="preserve">Correctness</w:t>
            </w:r>
          </w:p>
        </w:tc>
        <w:tc>
          <w:tcPr>
            <w:tcW w:w="5663" w:type="dxa"/>
          </w:tcPr>
          <w:p>
            <w:pPr/>
            <w:r>
              <w:t xml:space="preserve">Patterns and services used for what they are actually for; no oversell path</w:t>
            </w:r>
          </w:p>
        </w:tc>
        <w:tc>
          <w:tcPr>
            <w:tcW w:w="1100" w:type="dxa"/>
          </w:tcPr>
          <w:p>
            <w:pPr/>
            <w:r>
              <w:t xml:space="preserve">40%</w:t>
            </w:r>
          </w:p>
        </w:tc>
      </w:tr>
      <w:tr>
        <w:tc>
          <w:tcPr>
            <w:tcW w:w="2595" w:type="dxa"/>
          </w:tcPr>
          <w:p>
            <w:pPr/>
            <w:r>
              <w:t xml:space="preserve">Trade-off reasoning</w:t>
            </w:r>
          </w:p>
        </w:tc>
        <w:tc>
          <w:tcPr>
            <w:tcW w:w="5663" w:type="dxa"/>
          </w:tcPr>
          <w:p>
            <w:pPr/>
            <w:r>
              <w:t xml:space="preserve">Every major choice states an alternative and why it lost</w:t>
            </w:r>
          </w:p>
        </w:tc>
        <w:tc>
          <w:tcPr>
            <w:tcW w:w="1100" w:type="dxa"/>
          </w:tcPr>
          <w:p>
            <w:pPr/>
            <w:r>
              <w:t xml:space="preserve">25%</w:t>
            </w:r>
          </w:p>
        </w:tc>
      </w:tr>
      <w:tr>
        <w:tc>
          <w:tcPr>
            <w:tcW w:w="2595" w:type="dxa"/>
          </w:tcPr>
          <w:p>
            <w:pPr/>
            <w:r>
              <w:t xml:space="preserve">Consistency</w:t>
            </w:r>
          </w:p>
        </w:tc>
        <w:tc>
          <w:tcPr>
            <w:tcW w:w="5663" w:type="dxa"/>
          </w:tcPr>
          <w:p>
            <w:pPr/>
            <w:r>
              <w:t xml:space="preserve">Contexts, APIs and services line up across Parts B, C and D</w:t>
            </w:r>
          </w:p>
        </w:tc>
        <w:tc>
          <w:tcPr>
            <w:tcW w:w="1100" w:type="dxa"/>
          </w:tcPr>
          <w:p>
            <w:pPr/>
            <w:r>
              <w:t xml:space="preserve">20%</w:t>
            </w:r>
          </w:p>
        </w:tc>
      </w:tr>
      <w:tr>
        <w:tc>
          <w:tcPr>
            <w:tcW w:w="2595" w:type="dxa"/>
          </w:tcPr>
          <w:p>
            <w:pPr/>
            <w:r>
              <w:t xml:space="preserve">Clarity</w:t>
            </w:r>
          </w:p>
        </w:tc>
        <w:tc>
          <w:tcPr>
            <w:tcW w:w="5663" w:type="dxa"/>
          </w:tcPr>
          <w:p>
            <w:pPr/>
            <w:r>
              <w:t xml:space="preserve">Readable diagrams, labelled assumptions, concise notes</w:t>
            </w:r>
          </w:p>
        </w:tc>
        <w:tc>
          <w:tcPr>
            <w:tcW w:w="1100" w:type="dxa"/>
          </w:tcPr>
          <w:p>
            <w:pPr/>
            <w:r>
              <w:t xml:space="preserve">15%</w:t>
            </w:r>
          </w:p>
        </w:tc>
      </w:tr>
    </w:tbl>
    <w:p>
      <w:pPr/>
      <w:r>
        <w:rPr>
          <w:b/>
        </w:rPr>
        <w:t xml:space="preserve">Grade bands:</w:t>
      </w:r>
      <w:r>
        <w:t xml:space="preserve"> 80–100 Distinction · 65–79 Merit · 50–64 Pass · below 50 Not yet.</w:t>
      </w:r>
    </w:p>
    <w:p>
      <w:pPr/>
      <w:r>
        <w:rPr>
          <w:b/>
        </w:rPr>
        <w:t xml:space="preserve">Before you submit</w:t>
      </w:r>
    </w:p>
    <w:p>
      <w:pPr>
        <w:pStyle w:val="ListParagraph"/>
        <w:numPr>
          <w:ilvl w:val="0"/>
          <w:numId w:val="6"/>
        </w:numPr>
      </w:pPr>
      <w:r>
        <w:t xml:space="preserve">☐ Every part A to E has its own section</w:t>
      </w:r>
    </w:p>
    <w:p>
      <w:pPr>
        <w:pStyle w:val="ListParagraph"/>
        <w:numPr>
          <w:ilvl w:val="0"/>
          <w:numId w:val="6"/>
        </w:numPr>
      </w:pPr>
      <w:r>
        <w:t xml:space="preserve">☐ Assumptions are listed at the top</w:t>
      </w:r>
    </w:p>
    <w:p>
      <w:pPr>
        <w:pStyle w:val="ListParagraph"/>
        <w:numPr>
          <w:ilvl w:val="0"/>
          <w:numId w:val="6"/>
        </w:numPr>
      </w:pPr>
      <w:r>
        <w:t xml:space="preserve">☐ Context map, AWS diagram and Kubernetes diagram are included and legible</w:t>
      </w:r>
    </w:p>
    <w:p>
      <w:pPr>
        <w:pStyle w:val="ListParagraph"/>
        <w:numPr>
          <w:ilvl w:val="0"/>
          <w:numId w:val="6"/>
        </w:numPr>
      </w:pPr>
      <w:r>
        <w:t xml:space="preserve">☐ Your answer shows how a seat can never be sold twice</w:t>
      </w:r>
    </w:p>
    <w:p>
      <w:pPr>
        <w:pStyle w:val="ListParagraph"/>
        <w:numPr>
          <w:ilvl w:val="0"/>
          <w:numId w:val="6"/>
        </w:numPr>
      </w:pPr>
      <w:r>
        <w:t xml:space="preserve">☐ File named </w:t>
      </w:r>
      <w:r>
        <w:rPr>
          <w:rStyle w:val="CodeChar"/>
        </w:rPr>
        <w:t xml:space="preserve">&lt;your-name&gt;-seatsure.pdf</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System Design Assessment SeatSure Ticketing Platform</dc:title>
  <dc:description>Claude Docs node/52554330-7c79@8 docx-w7</dc:description>
  <cp:revision>8</cp:revision>
</cp:coreProperties>
</file>