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Times New Roman" w:cs="Times New Roman" w:eastAsia="Times New Roman" w:hAnsi="Times New Roman"/>
          <w:b/>
          <w:bCs/>
          <w:color w:val="1A1A1A"/>
          <w:sz w:val="26"/>
          <w:szCs w:val="26"/>
        </w:rPr>
        <w:t xml:space="preserve">PETITION OF THE COCONUT FARMERS OF CHITTUR ASSEMBLY CONSTITUENCY</w:t>
      </w:r>
    </w:p>
    <w:p>
      <w:pPr>
        <w:spacing w:after="40"/>
        <w:jc w:val="center"/>
      </w:pPr>
      <w:r>
        <w:rPr>
          <w:rFonts w:ascii="Times New Roman" w:cs="Times New Roman" w:eastAsia="Times New Roman" w:hAnsi="Times New Roman"/>
          <w:i/>
          <w:iCs/>
          <w:color w:val="555555"/>
          <w:sz w:val="20"/>
          <w:szCs w:val="20"/>
        </w:rPr>
        <w:t xml:space="preserve">Palakkad District, Kerala — represented by Arun</w:t>
      </w:r>
    </w:p>
    <w:p>
      <w:pPr>
        <w:pBdr>
          <w:bottom w:val="single" w:color="808080" w:sz="6" w:space="1"/>
        </w:pBdr>
        <w:spacing w:after="120" w:before="40"/>
      </w:pPr>
      <w:r>
        <w:rPr>
          <w:rFonts w:ascii="Times New Roman" w:cs="Times New Roman" w:eastAsia="Times New Roman" w:hAnsi="Times New Roman"/>
          <w:color w:val="1A1A1A"/>
          <w:sz w:val="22"/>
          <w:szCs w:val="22"/>
        </w:rPr>
        <w:t xml:space="preserve"/>
      </w:r>
    </w:p>
    <w:p>
      <w:pPr>
        <w:spacing w:after="60" w:before="60"/>
        <w:jc w:val="center"/>
      </w:pPr>
      <w:r>
        <w:rPr>
          <w:rFonts w:ascii="Times New Roman" w:cs="Times New Roman" w:eastAsia="Times New Roman" w:hAnsi="Times New Roman"/>
          <w:b/>
          <w:bCs/>
          <w:color w:val="1A1A1A"/>
          <w:sz w:val="26"/>
          <w:szCs w:val="26"/>
        </w:rPr>
        <w:t xml:space="preserve">POLLUTION-CATEGORY PARITY FOR COIR PROCESSING IN CHITTUR</w:t>
      </w:r>
    </w:p>
    <w:p>
      <w:pPr>
        <w:spacing w:after="180"/>
        <w:jc w:val="center"/>
      </w:pPr>
      <w:r>
        <w:rPr>
          <w:rFonts w:ascii="Times New Roman" w:cs="Times New Roman" w:eastAsia="Times New Roman" w:hAnsi="Times New Roman"/>
          <w:i/>
          <w:iCs/>
          <w:color w:val="444444"/>
          <w:sz w:val="21"/>
          <w:szCs w:val="21"/>
        </w:rPr>
        <w:t xml:space="preserve">Why Pollachi (Tamil Nadu) became a coir-processing hub while Chittur — with the same husk, 80 km away — did not</w:t>
      </w:r>
    </w:p>
    <w:p>
      <w:pPr>
        <w:spacing w:after="60" w:line="264"/>
      </w:pPr>
      <w:r>
        <w:rPr>
          <w:rFonts w:ascii="Times New Roman" w:cs="Times New Roman" w:eastAsia="Times New Roman" w:hAnsi="Times New Roman"/>
          <w:b/>
          <w:bCs/>
          <w:color w:val="1A1A1A"/>
          <w:sz w:val="22"/>
          <w:szCs w:val="22"/>
        </w:rPr>
        <w:t xml:space="preserve">To:  </w:t>
      </w:r>
      <w:r>
        <w:rPr>
          <w:rFonts w:ascii="Times New Roman" w:cs="Times New Roman" w:eastAsia="Times New Roman" w:hAnsi="Times New Roman"/>
          <w:color w:val="1A1A1A"/>
          <w:sz w:val="22"/>
          <w:szCs w:val="22"/>
        </w:rPr>
        <w:t xml:space="preserve">The Hon'ble Minister in charge of Pollution Control (Environment), Government of Kerala,</w:t>
      </w:r>
      <w:r>
        <w:br/>
      </w:r>
      <w:r>
        <w:rPr>
          <w:rFonts w:ascii="Times New Roman" w:cs="Times New Roman" w:eastAsia="Times New Roman" w:hAnsi="Times New Roman"/>
          <w:color w:val="1A1A1A"/>
          <w:sz w:val="22"/>
          <w:szCs w:val="22"/>
        </w:rPr>
        <w:t xml:space="preserve">Thiruvananthapuram.</w:t>
      </w:r>
      <w:r>
        <w:br/>
      </w:r>
      <w:r>
        <w:rPr>
          <w:rFonts w:ascii="Times New Roman" w:cs="Times New Roman" w:eastAsia="Times New Roman" w:hAnsi="Times New Roman"/>
          <w:i/>
          <w:iCs/>
          <w:color w:val="555555"/>
          <w:sz w:val="20"/>
          <w:szCs w:val="20"/>
        </w:rPr>
        <w:t xml:space="preserve">(Administrative Department of the Kerala State Pollution Control Board.)</w:t>
      </w:r>
    </w:p>
    <w:p>
      <w:pPr>
        <w:spacing w:after="60" w:line="264"/>
      </w:pPr>
      <w:r>
        <w:rPr>
          <w:rFonts w:ascii="Times New Roman" w:cs="Times New Roman" w:eastAsia="Times New Roman" w:hAnsi="Times New Roman"/>
          <w:b/>
          <w:bCs/>
          <w:color w:val="1A1A1A"/>
          <w:sz w:val="22"/>
          <w:szCs w:val="22"/>
        </w:rPr>
        <w:t xml:space="preserve">Copy to:  </w:t>
      </w:r>
      <w:r>
        <w:rPr>
          <w:rFonts w:ascii="Times New Roman" w:cs="Times New Roman" w:eastAsia="Times New Roman" w:hAnsi="Times New Roman"/>
          <w:color w:val="1A1A1A"/>
          <w:sz w:val="22"/>
          <w:szCs w:val="22"/>
        </w:rPr>
        <w:t xml:space="preserve">1. The Hon'ble Chief Minister of Kerala.</w:t>
      </w:r>
      <w:r>
        <w:br/>
      </w:r>
      <w:r>
        <w:rPr>
          <w:rFonts w:ascii="Times New Roman" w:cs="Times New Roman" w:eastAsia="Times New Roman" w:hAnsi="Times New Roman"/>
          <w:color w:val="1A1A1A"/>
          <w:sz w:val="22"/>
          <w:szCs w:val="22"/>
        </w:rPr>
        <w:t xml:space="preserve">2. The Hon'ble Minister for Industries &amp; Commerce, Government of Kerala.</w:t>
      </w:r>
    </w:p>
    <w:p>
      <w:pPr>
        <w:spacing w:after="60" w:line="264"/>
      </w:pPr>
      <w:r>
        <w:rPr>
          <w:rFonts w:ascii="Times New Roman" w:cs="Times New Roman" w:eastAsia="Times New Roman" w:hAnsi="Times New Roman"/>
          <w:b/>
          <w:bCs/>
          <w:color w:val="1A1A1A"/>
          <w:sz w:val="22"/>
          <w:szCs w:val="22"/>
        </w:rPr>
        <w:t xml:space="preserve">From:  </w:t>
      </w:r>
      <w:r>
        <w:rPr>
          <w:rFonts w:ascii="Times New Roman" w:cs="Times New Roman" w:eastAsia="Times New Roman" w:hAnsi="Times New Roman"/>
          <w:color w:val="1A1A1A"/>
          <w:sz w:val="22"/>
          <w:szCs w:val="22"/>
        </w:rPr>
        <w:t xml:space="preserve">The coconut farmers of the Chittur Assembly Constituency, Palakkad District, Kerala — represented by </w:t>
      </w:r>
      <w:r>
        <w:rPr>
          <w:rFonts w:ascii="Times New Roman" w:cs="Times New Roman" w:eastAsia="Times New Roman" w:hAnsi="Times New Roman"/>
          <w:b/>
          <w:bCs/>
          <w:color w:val="1A1A1A"/>
          <w:sz w:val="22"/>
          <w:szCs w:val="22"/>
        </w:rPr>
        <w:t xml:space="preserve">Arun</w:t>
      </w:r>
      <w:r>
        <w:rPr>
          <w:rFonts w:ascii="Times New Roman" w:cs="Times New Roman" w:eastAsia="Times New Roman" w:hAnsi="Times New Roman"/>
          <w:color w:val="1A1A1A"/>
          <w:sz w:val="22"/>
          <w:szCs w:val="22"/>
        </w:rPr>
        <w:t xml:space="preserve"> and delegation.</w:t>
      </w:r>
    </w:p>
    <w:p>
      <w:pPr>
        <w:spacing w:after="60" w:line="264"/>
      </w:pPr>
      <w:r>
        <w:rPr>
          <w:rFonts w:ascii="Times New Roman" w:cs="Times New Roman" w:eastAsia="Times New Roman" w:hAnsi="Times New Roman"/>
          <w:b/>
          <w:bCs/>
          <w:color w:val="1A1A1A"/>
          <w:sz w:val="22"/>
          <w:szCs w:val="22"/>
        </w:rPr>
        <w:t xml:space="preserve">Date:  </w:t>
      </w:r>
      <w:r>
        <w:rPr>
          <w:rFonts w:ascii="Times New Roman" w:cs="Times New Roman" w:eastAsia="Times New Roman" w:hAnsi="Times New Roman"/>
          <w:b/>
          <w:bCs/>
          <w:color w:val="1A1A1A"/>
          <w:sz w:val="22"/>
          <w:szCs w:val="22"/>
        </w:rPr>
        <w:t xml:space="preserve">[__] July 2026</w:t>
      </w:r>
      <w:r>
        <w:rPr>
          <w:rFonts w:ascii="Times New Roman" w:cs="Times New Roman" w:eastAsia="Times New Roman" w:hAnsi="Times New Roman"/>
          <w:color w:val="1A1A1A"/>
          <w:sz w:val="22"/>
          <w:szCs w:val="22"/>
        </w:rPr>
        <w:t xml:space="preserve">, Thiruvananthapuram.</w:t>
      </w:r>
    </w:p>
    <w:p>
      <w:pPr>
        <w:spacing w:after="160" w:before="40" w:line="276"/>
      </w:pPr>
      <w:r>
        <w:rPr>
          <w:rFonts w:ascii="Times New Roman" w:cs="Times New Roman" w:eastAsia="Times New Roman" w:hAnsi="Times New Roman"/>
          <w:b/>
          <w:bCs/>
          <w:color w:val="1A1A1A"/>
          <w:sz w:val="22"/>
          <w:szCs w:val="22"/>
        </w:rPr>
        <w:t xml:space="preserve">Subject:  </w:t>
      </w:r>
      <w:r>
        <w:rPr>
          <w:rFonts w:ascii="Times New Roman" w:cs="Times New Roman" w:eastAsia="Times New Roman" w:hAnsi="Times New Roman"/>
          <w:color w:val="1A1A1A"/>
          <w:sz w:val="22"/>
          <w:szCs w:val="22"/>
        </w:rPr>
        <w:t xml:space="preserve">Request to re-align the pollution-control category of coconut-husk retting (presently Red) and coir de-fibring / ginning (presently Orange) in Kerala with the Central (CPCB) norms and with Tamil Nadu's White-category treatment of the identical process chain — so that coir processing develops in Chittur instead of migrating across the border to Pollachi.</w:t>
      </w:r>
    </w:p>
    <w:p>
      <w:pPr>
        <w:pBdr>
          <w:bottom w:val="single" w:color="808080" w:sz="6" w:space="1"/>
        </w:pBdr>
        <w:spacing w:after="120" w:before="40"/>
      </w:pPr>
      <w:r>
        <w:rPr>
          <w:rFonts w:ascii="Times New Roman" w:cs="Times New Roman" w:eastAsia="Times New Roman" w:hAnsi="Times New Roman"/>
          <w:color w:val="1A1A1A"/>
          <w:sz w:val="22"/>
          <w:szCs w:val="22"/>
        </w:rPr>
        <w:t xml:space="preserve"/>
      </w:r>
    </w:p>
    <w:p>
      <w:pPr>
        <w:pStyle w:val="Heading1"/>
        <w:spacing w:after="100" w:before="220"/>
      </w:pPr>
      <w:r>
        <w:rPr>
          <w:rFonts w:ascii="Times New Roman" w:cs="Times New Roman" w:eastAsia="Times New Roman" w:hAnsi="Times New Roman"/>
          <w:b/>
          <w:bCs/>
          <w:color w:val="0B3D0B"/>
          <w:sz w:val="24"/>
          <w:szCs w:val="24"/>
        </w:rPr>
        <w:t xml:space="preserve">1.  The prayer in one line</w:t>
      </w:r>
    </w:p>
    <w:p>
      <w:pPr>
        <w:spacing w:after="120" w:line="276"/>
      </w:pPr>
      <w:r>
        <w:rPr>
          <w:rFonts w:ascii="Times New Roman" w:cs="Times New Roman" w:eastAsia="Times New Roman" w:hAnsi="Times New Roman"/>
          <w:color w:val="1A1A1A"/>
          <w:sz w:val="22"/>
          <w:szCs w:val="22"/>
        </w:rPr>
        <w:t xml:space="preserve">We are coconut farmers of the Chittur Assembly Constituency. We grow the coconut; the husk that comes off it is coir's raw material. We ask the Government to fix a single, provable anomaly: </w:t>
      </w:r>
      <w:r>
        <w:rPr>
          <w:rFonts w:ascii="Times New Roman" w:cs="Times New Roman" w:eastAsia="Times New Roman" w:hAnsi="Times New Roman"/>
          <w:b/>
          <w:bCs/>
          <w:color w:val="1A1A1A"/>
          <w:sz w:val="22"/>
          <w:szCs w:val="22"/>
        </w:rPr>
        <w:t xml:space="preserve">Kerala places coconut-husk retting in the Red category and coir de-fibring / ginning in the Orange category, while both the Central norm and neighbouring Tamil Nadu treat the very same activities as practically non-polluting (White).</w:t>
      </w:r>
      <w:r>
        <w:rPr>
          <w:rFonts w:ascii="Times New Roman" w:cs="Times New Roman" w:eastAsia="Times New Roman" w:hAnsi="Times New Roman"/>
          <w:color w:val="1A1A1A"/>
          <w:sz w:val="22"/>
          <w:szCs w:val="22"/>
        </w:rPr>
        <w:t xml:space="preserve"> That one gap has sent the industry — and our husk's value — across the border to Pollachi.</w:t>
      </w:r>
    </w:p>
    <w:p>
      <w:pPr>
        <w:pStyle w:val="Heading1"/>
        <w:spacing w:after="100" w:before="220"/>
      </w:pPr>
      <w:r>
        <w:rPr>
          <w:rFonts w:ascii="Times New Roman" w:cs="Times New Roman" w:eastAsia="Times New Roman" w:hAnsi="Times New Roman"/>
          <w:b/>
          <w:bCs/>
          <w:color w:val="0B3D0B"/>
          <w:sz w:val="24"/>
          <w:szCs w:val="24"/>
        </w:rPr>
        <w:t xml:space="preserve">2.  The classification gap — Kerala vs. Tamil Nadu vs. the Central (CPCB) norm</w:t>
      </w:r>
    </w:p>
    <w:p>
      <w:pPr>
        <w:spacing w:after="120" w:line="276"/>
      </w:pPr>
      <w:r>
        <w:rPr>
          <w:rFonts w:ascii="Times New Roman" w:cs="Times New Roman" w:eastAsia="Times New Roman" w:hAnsi="Times New Roman"/>
          <w:color w:val="1A1A1A"/>
          <w:sz w:val="22"/>
          <w:szCs w:val="22"/>
        </w:rPr>
        <w:t xml:space="preserve">The table below sets each coir activity against its category in Kerala (KSPCB), Tamil Nadu (TNPCB) and the Central norm (CPCB). The divergence is confined to the </w:t>
      </w:r>
      <w:r>
        <w:rPr>
          <w:rFonts w:ascii="Times New Roman" w:cs="Times New Roman" w:eastAsia="Times New Roman" w:hAnsi="Times New Roman"/>
          <w:b/>
          <w:bCs/>
          <w:color w:val="1A1A1A"/>
          <w:sz w:val="22"/>
          <w:szCs w:val="22"/>
        </w:rPr>
        <w:t xml:space="preserve">primary end</w:t>
      </w:r>
      <w:r>
        <w:rPr>
          <w:rFonts w:ascii="Times New Roman" w:cs="Times New Roman" w:eastAsia="Times New Roman" w:hAnsi="Times New Roman"/>
          <w:color w:val="1A1A1A"/>
          <w:sz w:val="22"/>
          <w:szCs w:val="22"/>
        </w:rPr>
        <w:t xml:space="preserve"> of the chain:</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760"/>
        <w:gridCol w:w="1180"/>
        <w:gridCol w:w="1180"/>
        <w:gridCol w:w="1560"/>
        <w:gridCol w:w="2958"/>
      </w:tblGrid>
      <w:tr>
        <w:trPr>
          <w:tblHeader/>
        </w:trPr>
        <w:tc>
          <w:tcPr>
            <w:tcW w:type="dxa" w:w="2760"/>
            <w:shd w:fill="E9EFE9" w:color="auto" w:val="clear"/>
            <w:tcMar>
              <w:top w:type="dxa" w:w="50"/>
              <w:left w:type="dxa" w:w="90"/>
              <w:bottom w:type="dxa" w:w="50"/>
              <w:right w:type="dxa" w:w="90"/>
            </w:tcMar>
          </w:tcPr>
          <w:p>
            <w:pPr>
              <w:spacing w:after="30" w:line="248"/>
              <w:jc w:val="left"/>
            </w:pPr>
            <w:r>
              <w:rPr>
                <w:rFonts w:ascii="Times New Roman" w:cs="Times New Roman" w:eastAsia="Times New Roman" w:hAnsi="Times New Roman"/>
                <w:b/>
                <w:bCs/>
                <w:color w:val="222222"/>
                <w:sz w:val="20"/>
                <w:szCs w:val="20"/>
              </w:rPr>
              <w:t xml:space="preserve">Coir activity</w:t>
            </w:r>
          </w:p>
        </w:tc>
        <w:tc>
          <w:tcPr>
            <w:tcW w:type="dxa" w:w="1180"/>
            <w:shd w:fill="E9EFE9" w:color="auto" w:val="clear"/>
            <w:tcMar>
              <w:top w:type="dxa" w:w="50"/>
              <w:left w:type="dxa" w:w="90"/>
              <w:bottom w:type="dxa" w:w="50"/>
              <w:right w:type="dxa" w:w="90"/>
            </w:tcMar>
          </w:tcPr>
          <w:p>
            <w:pPr>
              <w:spacing w:after="30" w:line="248"/>
              <w:jc w:val="center"/>
            </w:pPr>
            <w:r>
              <w:rPr>
                <w:rFonts w:ascii="Times New Roman" w:cs="Times New Roman" w:eastAsia="Times New Roman" w:hAnsi="Times New Roman"/>
                <w:b/>
                <w:bCs/>
                <w:color w:val="222222"/>
                <w:sz w:val="20"/>
                <w:szCs w:val="20"/>
              </w:rPr>
              <w:t xml:space="preserve">Kerala (KSPCB)</w:t>
            </w:r>
          </w:p>
        </w:tc>
        <w:tc>
          <w:tcPr>
            <w:tcW w:type="dxa" w:w="1180"/>
            <w:shd w:fill="E9EFE9" w:color="auto" w:val="clear"/>
            <w:tcMar>
              <w:top w:type="dxa" w:w="50"/>
              <w:left w:type="dxa" w:w="90"/>
              <w:bottom w:type="dxa" w:w="50"/>
              <w:right w:type="dxa" w:w="90"/>
            </w:tcMar>
          </w:tcPr>
          <w:p>
            <w:pPr>
              <w:spacing w:after="30" w:line="248"/>
              <w:jc w:val="center"/>
            </w:pPr>
            <w:r>
              <w:rPr>
                <w:rFonts w:ascii="Times New Roman" w:cs="Times New Roman" w:eastAsia="Times New Roman" w:hAnsi="Times New Roman"/>
                <w:b/>
                <w:bCs/>
                <w:color w:val="222222"/>
                <w:sz w:val="20"/>
                <w:szCs w:val="20"/>
              </w:rPr>
              <w:t xml:space="preserve">Tamil Nadu (TNPCB)</w:t>
            </w:r>
          </w:p>
        </w:tc>
        <w:tc>
          <w:tcPr>
            <w:tcW w:type="dxa" w:w="1560"/>
            <w:shd w:fill="E9EFE9" w:color="auto" w:val="clear"/>
            <w:tcMar>
              <w:top w:type="dxa" w:w="50"/>
              <w:left w:type="dxa" w:w="90"/>
              <w:bottom w:type="dxa" w:w="50"/>
              <w:right w:type="dxa" w:w="90"/>
            </w:tcMar>
          </w:tcPr>
          <w:p>
            <w:pPr>
              <w:spacing w:after="30" w:line="248"/>
              <w:jc w:val="center"/>
            </w:pPr>
            <w:r>
              <w:rPr>
                <w:rFonts w:ascii="Times New Roman" w:cs="Times New Roman" w:eastAsia="Times New Roman" w:hAnsi="Times New Roman"/>
                <w:b/>
                <w:bCs/>
                <w:color w:val="222222"/>
                <w:sz w:val="20"/>
                <w:szCs w:val="20"/>
              </w:rPr>
              <w:t xml:space="preserve">Central (CPCB)</w:t>
            </w:r>
          </w:p>
        </w:tc>
        <w:tc>
          <w:tcPr>
            <w:tcW w:type="dxa" w:w="2958"/>
            <w:shd w:fill="E9EFE9" w:color="auto" w:val="clear"/>
            <w:tcMar>
              <w:top w:type="dxa" w:w="50"/>
              <w:left w:type="dxa" w:w="90"/>
              <w:bottom w:type="dxa" w:w="50"/>
              <w:right w:type="dxa" w:w="90"/>
            </w:tcMar>
          </w:tcPr>
          <w:p>
            <w:pPr>
              <w:spacing w:after="30" w:line="248"/>
              <w:jc w:val="left"/>
            </w:pPr>
            <w:r>
              <w:rPr>
                <w:rFonts w:ascii="Times New Roman" w:cs="Times New Roman" w:eastAsia="Times New Roman" w:hAnsi="Times New Roman"/>
                <w:b/>
                <w:bCs/>
                <w:color w:val="222222"/>
                <w:sz w:val="20"/>
                <w:szCs w:val="20"/>
              </w:rPr>
              <w:t xml:space="preserve">Where the outlier is</w:t>
            </w:r>
          </w:p>
        </w:tc>
      </w:tr>
      <w:tr>
        <w:tc>
          <w:tcPr>
            <w:tcW w:type="dxa" w:w="2760"/>
            <w:tcMar>
              <w:top w:type="dxa" w:w="50"/>
              <w:left w:type="dxa" w:w="90"/>
              <w:bottom w:type="dxa" w:w="50"/>
              <w:right w:type="dxa" w:w="90"/>
            </w:tcMar>
          </w:tcPr>
          <w:p>
            <w:pPr>
              <w:spacing w:after="30" w:line="248"/>
              <w:jc w:val="left"/>
            </w:pPr>
            <w:r>
              <w:rPr>
                <w:rFonts w:ascii="Times New Roman" w:cs="Times New Roman" w:eastAsia="Times New Roman" w:hAnsi="Times New Roman"/>
                <w:b w:val="false"/>
                <w:bCs w:val="false"/>
                <w:color w:val="1A1A1A"/>
                <w:sz w:val="20"/>
                <w:szCs w:val="20"/>
              </w:rPr>
              <w:t xml:space="preserve">Coconut-husk retting</w:t>
            </w:r>
          </w:p>
        </w:tc>
        <w:tc>
          <w:tcPr>
            <w:tcW w:type="dxa" w:w="1180"/>
            <w:tcMar>
              <w:top w:type="dxa" w:w="50"/>
              <w:left w:type="dxa" w:w="90"/>
              <w:bottom w:type="dxa" w:w="50"/>
              <w:right w:type="dxa" w:w="90"/>
            </w:tcMar>
          </w:tcPr>
          <w:p>
            <w:pPr>
              <w:spacing w:after="30" w:line="248"/>
              <w:jc w:val="center"/>
            </w:pPr>
            <w:r>
              <w:rPr>
                <w:rFonts w:ascii="Times New Roman" w:cs="Times New Roman" w:eastAsia="Times New Roman" w:hAnsi="Times New Roman"/>
                <w:b/>
                <w:bCs/>
                <w:color w:val="C0392B"/>
                <w:sz w:val="20"/>
                <w:szCs w:val="20"/>
              </w:rPr>
              <w:t xml:space="preserve">RED</w:t>
            </w:r>
          </w:p>
        </w:tc>
        <w:tc>
          <w:tcPr>
            <w:tcW w:type="dxa" w:w="1180"/>
            <w:tcMar>
              <w:top w:type="dxa" w:w="50"/>
              <w:left w:type="dxa" w:w="90"/>
              <w:bottom w:type="dxa" w:w="50"/>
              <w:right w:type="dxa" w:w="90"/>
            </w:tcMar>
          </w:tcPr>
          <w:p>
            <w:pPr>
              <w:spacing w:after="30" w:line="248"/>
              <w:jc w:val="center"/>
            </w:pPr>
            <w:r>
              <w:rPr>
                <w:rFonts w:ascii="Times New Roman" w:cs="Times New Roman" w:eastAsia="Times New Roman" w:hAnsi="Times New Roman"/>
                <w:b/>
                <w:bCs/>
                <w:color w:val="444444"/>
                <w:sz w:val="20"/>
                <w:szCs w:val="20"/>
              </w:rPr>
              <w:t xml:space="preserve">WHITE</w:t>
            </w:r>
          </w:p>
        </w:tc>
        <w:tc>
          <w:tcPr>
            <w:tcW w:type="dxa" w:w="1560"/>
            <w:tcMar>
              <w:top w:type="dxa" w:w="50"/>
              <w:left w:type="dxa" w:w="90"/>
              <w:bottom w:type="dxa" w:w="50"/>
              <w:right w:type="dxa" w:w="90"/>
            </w:tcMar>
          </w:tcPr>
          <w:p>
            <w:pPr>
              <w:spacing w:after="30" w:line="248"/>
              <w:jc w:val="center"/>
            </w:pPr>
            <w:r>
              <w:rPr>
                <w:rFonts w:ascii="Times New Roman" w:cs="Times New Roman" w:eastAsia="Times New Roman" w:hAnsi="Times New Roman"/>
                <w:b/>
                <w:bCs/>
                <w:color w:val="1E7D1E"/>
                <w:sz w:val="20"/>
                <w:szCs w:val="20"/>
              </w:rPr>
              <w:t xml:space="preserve">Not a Red / Orange sector †</w:t>
            </w:r>
          </w:p>
        </w:tc>
        <w:tc>
          <w:tcPr>
            <w:tcW w:type="dxa" w:w="2958"/>
            <w:tcMar>
              <w:top w:type="dxa" w:w="50"/>
              <w:left w:type="dxa" w:w="90"/>
              <w:bottom w:type="dxa" w:w="50"/>
              <w:right w:type="dxa" w:w="90"/>
            </w:tcMar>
          </w:tcPr>
          <w:p>
            <w:pPr>
              <w:spacing w:after="30" w:line="248"/>
              <w:jc w:val="left"/>
            </w:pPr>
            <w:r>
              <w:rPr>
                <w:rFonts w:ascii="Times New Roman" w:cs="Times New Roman" w:eastAsia="Times New Roman" w:hAnsi="Times New Roman"/>
                <w:b/>
                <w:bCs/>
                <w:color w:val="8A3324"/>
                <w:sz w:val="20"/>
                <w:szCs w:val="20"/>
              </w:rPr>
              <w:t xml:space="preserve">Kerala alone — Red vs. White elsewhere</w:t>
            </w:r>
          </w:p>
        </w:tc>
      </w:tr>
      <w:tr>
        <w:tc>
          <w:tcPr>
            <w:tcW w:type="dxa" w:w="2760"/>
            <w:tcMar>
              <w:top w:type="dxa" w:w="50"/>
              <w:left w:type="dxa" w:w="90"/>
              <w:bottom w:type="dxa" w:w="50"/>
              <w:right w:type="dxa" w:w="90"/>
            </w:tcMar>
          </w:tcPr>
          <w:p>
            <w:pPr>
              <w:spacing w:after="30" w:line="248"/>
              <w:jc w:val="left"/>
            </w:pPr>
            <w:r>
              <w:rPr>
                <w:rFonts w:ascii="Times New Roman" w:cs="Times New Roman" w:eastAsia="Times New Roman" w:hAnsi="Times New Roman"/>
                <w:b w:val="false"/>
                <w:bCs w:val="false"/>
                <w:color w:val="1A1A1A"/>
                <w:sz w:val="20"/>
                <w:szCs w:val="20"/>
              </w:rPr>
              <w:t xml:space="preserve">Coir de-fibring / ginning</w:t>
            </w:r>
          </w:p>
        </w:tc>
        <w:tc>
          <w:tcPr>
            <w:tcW w:type="dxa" w:w="1180"/>
            <w:tcMar>
              <w:top w:type="dxa" w:w="50"/>
              <w:left w:type="dxa" w:w="90"/>
              <w:bottom w:type="dxa" w:w="50"/>
              <w:right w:type="dxa" w:w="90"/>
            </w:tcMar>
          </w:tcPr>
          <w:p>
            <w:pPr>
              <w:spacing w:after="30" w:line="248"/>
              <w:jc w:val="center"/>
            </w:pPr>
            <w:r>
              <w:rPr>
                <w:rFonts w:ascii="Times New Roman" w:cs="Times New Roman" w:eastAsia="Times New Roman" w:hAnsi="Times New Roman"/>
                <w:b/>
                <w:bCs/>
                <w:color w:val="C87A00"/>
                <w:sz w:val="20"/>
                <w:szCs w:val="20"/>
              </w:rPr>
              <w:t xml:space="preserve">ORANGE</w:t>
            </w:r>
          </w:p>
        </w:tc>
        <w:tc>
          <w:tcPr>
            <w:tcW w:type="dxa" w:w="1180"/>
            <w:tcMar>
              <w:top w:type="dxa" w:w="50"/>
              <w:left w:type="dxa" w:w="90"/>
              <w:bottom w:type="dxa" w:w="50"/>
              <w:right w:type="dxa" w:w="90"/>
            </w:tcMar>
          </w:tcPr>
          <w:p>
            <w:pPr>
              <w:spacing w:after="30" w:line="248"/>
              <w:jc w:val="center"/>
            </w:pPr>
            <w:r>
              <w:rPr>
                <w:rFonts w:ascii="Times New Roman" w:cs="Times New Roman" w:eastAsia="Times New Roman" w:hAnsi="Times New Roman"/>
                <w:b/>
                <w:bCs/>
                <w:color w:val="444444"/>
                <w:sz w:val="20"/>
                <w:szCs w:val="20"/>
              </w:rPr>
              <w:t xml:space="preserve">WHITE</w:t>
            </w:r>
          </w:p>
        </w:tc>
        <w:tc>
          <w:tcPr>
            <w:tcW w:type="dxa" w:w="1560"/>
            <w:tcMar>
              <w:top w:type="dxa" w:w="50"/>
              <w:left w:type="dxa" w:w="90"/>
              <w:bottom w:type="dxa" w:w="50"/>
              <w:right w:type="dxa" w:w="90"/>
            </w:tcMar>
          </w:tcPr>
          <w:p>
            <w:pPr>
              <w:spacing w:after="30" w:line="248"/>
              <w:jc w:val="center"/>
            </w:pPr>
            <w:r>
              <w:rPr>
                <w:rFonts w:ascii="Times New Roman" w:cs="Times New Roman" w:eastAsia="Times New Roman" w:hAnsi="Times New Roman"/>
                <w:b/>
                <w:bCs/>
                <w:color w:val="1E7D1E"/>
                <w:sz w:val="20"/>
                <w:szCs w:val="20"/>
              </w:rPr>
              <w:t xml:space="preserve">White / Green (dry) †</w:t>
            </w:r>
          </w:p>
        </w:tc>
        <w:tc>
          <w:tcPr>
            <w:tcW w:type="dxa" w:w="2958"/>
            <w:tcMar>
              <w:top w:type="dxa" w:w="50"/>
              <w:left w:type="dxa" w:w="90"/>
              <w:bottom w:type="dxa" w:w="50"/>
              <w:right w:type="dxa" w:w="90"/>
            </w:tcMar>
          </w:tcPr>
          <w:p>
            <w:pPr>
              <w:spacing w:after="30" w:line="248"/>
              <w:jc w:val="left"/>
            </w:pPr>
            <w:r>
              <w:rPr>
                <w:rFonts w:ascii="Times New Roman" w:cs="Times New Roman" w:eastAsia="Times New Roman" w:hAnsi="Times New Roman"/>
                <w:b/>
                <w:bCs/>
                <w:color w:val="8A3324"/>
                <w:sz w:val="20"/>
                <w:szCs w:val="20"/>
              </w:rPr>
              <w:t xml:space="preserve">Kerala alone — Orange vs. White elsewhere</w:t>
            </w:r>
          </w:p>
        </w:tc>
      </w:tr>
      <w:tr>
        <w:tc>
          <w:tcPr>
            <w:tcW w:type="dxa" w:w="2760"/>
            <w:tcMar>
              <w:top w:type="dxa" w:w="50"/>
              <w:left w:type="dxa" w:w="90"/>
              <w:bottom w:type="dxa" w:w="50"/>
              <w:right w:type="dxa" w:w="90"/>
            </w:tcMar>
          </w:tcPr>
          <w:p>
            <w:pPr>
              <w:spacing w:after="30" w:line="248"/>
              <w:jc w:val="left"/>
            </w:pPr>
            <w:r>
              <w:rPr>
                <w:rFonts w:ascii="Times New Roman" w:cs="Times New Roman" w:eastAsia="Times New Roman" w:hAnsi="Times New Roman"/>
                <w:b w:val="false"/>
                <w:bCs w:val="false"/>
                <w:color w:val="1A1A1A"/>
                <w:sz w:val="20"/>
                <w:szCs w:val="20"/>
              </w:rPr>
              <w:t xml:space="preserve">Coir fibre / pith processing generating effluent</w:t>
            </w:r>
          </w:p>
        </w:tc>
        <w:tc>
          <w:tcPr>
            <w:tcW w:type="dxa" w:w="1180"/>
            <w:tcMar>
              <w:top w:type="dxa" w:w="50"/>
              <w:left w:type="dxa" w:w="90"/>
              <w:bottom w:type="dxa" w:w="50"/>
              <w:right w:type="dxa" w:w="90"/>
            </w:tcMar>
          </w:tcPr>
          <w:p>
            <w:pPr>
              <w:spacing w:after="30" w:line="248"/>
              <w:jc w:val="center"/>
            </w:pPr>
            <w:r>
              <w:rPr>
                <w:rFonts w:ascii="Times New Roman" w:cs="Times New Roman" w:eastAsia="Times New Roman" w:hAnsi="Times New Roman"/>
                <w:b/>
                <w:bCs/>
                <w:color w:val="1E7D1E"/>
                <w:sz w:val="20"/>
                <w:szCs w:val="20"/>
              </w:rPr>
              <w:t xml:space="preserve">GREEN</w:t>
            </w:r>
          </w:p>
        </w:tc>
        <w:tc>
          <w:tcPr>
            <w:tcW w:type="dxa" w:w="1180"/>
            <w:tcMar>
              <w:top w:type="dxa" w:w="50"/>
              <w:left w:type="dxa" w:w="90"/>
              <w:bottom w:type="dxa" w:w="50"/>
              <w:right w:type="dxa" w:w="90"/>
            </w:tcMar>
          </w:tcPr>
          <w:p>
            <w:pPr>
              <w:spacing w:after="30" w:line="248"/>
              <w:jc w:val="center"/>
            </w:pPr>
            <w:r>
              <w:rPr>
                <w:rFonts w:ascii="Times New Roman" w:cs="Times New Roman" w:eastAsia="Times New Roman" w:hAnsi="Times New Roman"/>
                <w:b/>
                <w:bCs/>
                <w:color w:val="444444"/>
                <w:sz w:val="20"/>
                <w:szCs w:val="20"/>
              </w:rPr>
              <w:t xml:space="preserve">WHITE</w:t>
            </w:r>
          </w:p>
        </w:tc>
        <w:tc>
          <w:tcPr>
            <w:tcW w:type="dxa" w:w="1560"/>
            <w:tcMar>
              <w:top w:type="dxa" w:w="50"/>
              <w:left w:type="dxa" w:w="90"/>
              <w:bottom w:type="dxa" w:w="50"/>
              <w:right w:type="dxa" w:w="90"/>
            </w:tcMar>
          </w:tcPr>
          <w:p>
            <w:pPr>
              <w:spacing w:after="30" w:line="248"/>
              <w:jc w:val="center"/>
            </w:pPr>
            <w:r>
              <w:rPr>
                <w:rFonts w:ascii="Times New Roman" w:cs="Times New Roman" w:eastAsia="Times New Roman" w:hAnsi="Times New Roman"/>
                <w:b/>
                <w:bCs/>
                <w:color w:val="1E7D1E"/>
                <w:sz w:val="20"/>
                <w:szCs w:val="20"/>
              </w:rPr>
              <w:t xml:space="preserve">GREEN</w:t>
            </w:r>
          </w:p>
        </w:tc>
        <w:tc>
          <w:tcPr>
            <w:tcW w:type="dxa" w:w="2958"/>
            <w:tcMar>
              <w:top w:type="dxa" w:w="50"/>
              <w:left w:type="dxa" w:w="90"/>
              <w:bottom w:type="dxa" w:w="50"/>
              <w:right w:type="dxa" w:w="90"/>
            </w:tcMar>
          </w:tcPr>
          <w:p>
            <w:pPr>
              <w:spacing w:after="30" w:line="248"/>
              <w:jc w:val="left"/>
            </w:pPr>
            <w:r>
              <w:rPr>
                <w:rFonts w:ascii="Times New Roman" w:cs="Times New Roman" w:eastAsia="Times New Roman" w:hAnsi="Times New Roman"/>
                <w:b/>
                <w:bCs/>
                <w:color w:val="555555"/>
                <w:sz w:val="20"/>
                <w:szCs w:val="20"/>
              </w:rPr>
              <w:t xml:space="preserve">Kerala &amp; CPCB stricter than TN</w:t>
            </w:r>
          </w:p>
        </w:tc>
      </w:tr>
      <w:tr>
        <w:tc>
          <w:tcPr>
            <w:tcW w:type="dxa" w:w="2760"/>
            <w:tcMar>
              <w:top w:type="dxa" w:w="50"/>
              <w:left w:type="dxa" w:w="90"/>
              <w:bottom w:type="dxa" w:w="50"/>
              <w:right w:type="dxa" w:w="90"/>
            </w:tcMar>
          </w:tcPr>
          <w:p>
            <w:pPr>
              <w:spacing w:after="30" w:line="248"/>
              <w:jc w:val="left"/>
            </w:pPr>
            <w:r>
              <w:rPr>
                <w:rFonts w:ascii="Times New Roman" w:cs="Times New Roman" w:eastAsia="Times New Roman" w:hAnsi="Times New Roman"/>
                <w:b w:val="false"/>
                <w:bCs w:val="false"/>
                <w:color w:val="1A1A1A"/>
                <w:sz w:val="20"/>
                <w:szCs w:val="20"/>
              </w:rPr>
              <w:t xml:space="preserve">Coir bleaching / dyeing / stencilling (chemical, wet)</w:t>
            </w:r>
          </w:p>
        </w:tc>
        <w:tc>
          <w:tcPr>
            <w:tcW w:type="dxa" w:w="1180"/>
            <w:tcMar>
              <w:top w:type="dxa" w:w="50"/>
              <w:left w:type="dxa" w:w="90"/>
              <w:bottom w:type="dxa" w:w="50"/>
              <w:right w:type="dxa" w:w="90"/>
            </w:tcMar>
          </w:tcPr>
          <w:p>
            <w:pPr>
              <w:spacing w:after="30" w:line="248"/>
              <w:jc w:val="center"/>
            </w:pPr>
            <w:r>
              <w:rPr>
                <w:rFonts w:ascii="Times New Roman" w:cs="Times New Roman" w:eastAsia="Times New Roman" w:hAnsi="Times New Roman"/>
                <w:b/>
                <w:bCs/>
                <w:color w:val="C87A00"/>
                <w:sz w:val="20"/>
                <w:szCs w:val="20"/>
              </w:rPr>
              <w:t xml:space="preserve">ORANGE</w:t>
            </w:r>
          </w:p>
        </w:tc>
        <w:tc>
          <w:tcPr>
            <w:tcW w:type="dxa" w:w="1180"/>
            <w:tcMar>
              <w:top w:type="dxa" w:w="50"/>
              <w:left w:type="dxa" w:w="90"/>
              <w:bottom w:type="dxa" w:w="50"/>
              <w:right w:type="dxa" w:w="90"/>
            </w:tcMar>
          </w:tcPr>
          <w:p>
            <w:pPr>
              <w:spacing w:after="30" w:line="248"/>
              <w:jc w:val="center"/>
            </w:pPr>
            <w:r>
              <w:rPr>
                <w:rFonts w:ascii="Times New Roman" w:cs="Times New Roman" w:eastAsia="Times New Roman" w:hAnsi="Times New Roman"/>
                <w:b/>
                <w:bCs/>
                <w:color w:val="444444"/>
                <w:sz w:val="20"/>
                <w:szCs w:val="20"/>
              </w:rPr>
              <w:t xml:space="preserve">WHITE</w:t>
            </w:r>
          </w:p>
        </w:tc>
        <w:tc>
          <w:tcPr>
            <w:tcW w:type="dxa" w:w="1560"/>
            <w:tcMar>
              <w:top w:type="dxa" w:w="50"/>
              <w:left w:type="dxa" w:w="90"/>
              <w:bottom w:type="dxa" w:w="50"/>
              <w:right w:type="dxa" w:w="90"/>
            </w:tcMar>
          </w:tcPr>
          <w:p>
            <w:pPr>
              <w:spacing w:after="30" w:line="248"/>
              <w:jc w:val="center"/>
            </w:pPr>
            <w:r>
              <w:rPr>
                <w:rFonts w:ascii="Times New Roman" w:cs="Times New Roman" w:eastAsia="Times New Roman" w:hAnsi="Times New Roman"/>
                <w:b/>
                <w:bCs/>
                <w:color w:val="C87A00"/>
                <w:sz w:val="20"/>
                <w:szCs w:val="20"/>
              </w:rPr>
              <w:t xml:space="preserve">ORANGE</w:t>
            </w:r>
          </w:p>
        </w:tc>
        <w:tc>
          <w:tcPr>
            <w:tcW w:type="dxa" w:w="2958"/>
            <w:tcMar>
              <w:top w:type="dxa" w:w="50"/>
              <w:left w:type="dxa" w:w="90"/>
              <w:bottom w:type="dxa" w:w="50"/>
              <w:right w:type="dxa" w:w="90"/>
            </w:tcMar>
          </w:tcPr>
          <w:p>
            <w:pPr>
              <w:spacing w:after="30" w:line="248"/>
              <w:jc w:val="left"/>
            </w:pPr>
            <w:r>
              <w:rPr>
                <w:rFonts w:ascii="Times New Roman" w:cs="Times New Roman" w:eastAsia="Times New Roman" w:hAnsi="Times New Roman"/>
                <w:b/>
                <w:bCs/>
                <w:color w:val="555555"/>
                <w:sz w:val="20"/>
                <w:szCs w:val="20"/>
              </w:rPr>
              <w:t xml:space="preserve">Kerala aligned with CPCB</w:t>
            </w:r>
          </w:p>
        </w:tc>
      </w:tr>
      <w:tr>
        <w:tc>
          <w:tcPr>
            <w:tcW w:type="dxa" w:w="2760"/>
            <w:tcMar>
              <w:top w:type="dxa" w:w="50"/>
              <w:left w:type="dxa" w:w="90"/>
              <w:bottom w:type="dxa" w:w="50"/>
              <w:right w:type="dxa" w:w="90"/>
            </w:tcMar>
          </w:tcPr>
          <w:p>
            <w:pPr>
              <w:spacing w:after="30" w:line="248"/>
              <w:jc w:val="left"/>
            </w:pPr>
            <w:r>
              <w:rPr>
                <w:rFonts w:ascii="Times New Roman" w:cs="Times New Roman" w:eastAsia="Times New Roman" w:hAnsi="Times New Roman"/>
                <w:b w:val="false"/>
                <w:bCs w:val="false"/>
                <w:color w:val="1A1A1A"/>
                <w:sz w:val="20"/>
                <w:szCs w:val="20"/>
              </w:rPr>
              <w:t xml:space="preserve">Dry coir processing / coir products without effluent</w:t>
            </w:r>
          </w:p>
        </w:tc>
        <w:tc>
          <w:tcPr>
            <w:tcW w:type="dxa" w:w="1180"/>
            <w:tcMar>
              <w:top w:type="dxa" w:w="50"/>
              <w:left w:type="dxa" w:w="90"/>
              <w:bottom w:type="dxa" w:w="50"/>
              <w:right w:type="dxa" w:w="90"/>
            </w:tcMar>
          </w:tcPr>
          <w:p>
            <w:pPr>
              <w:spacing w:after="30" w:line="248"/>
              <w:jc w:val="center"/>
            </w:pPr>
            <w:r>
              <w:rPr>
                <w:rFonts w:ascii="Times New Roman" w:cs="Times New Roman" w:eastAsia="Times New Roman" w:hAnsi="Times New Roman"/>
                <w:b/>
                <w:bCs/>
                <w:color w:val="444444"/>
                <w:sz w:val="20"/>
                <w:szCs w:val="20"/>
              </w:rPr>
              <w:t xml:space="preserve">WHITE</w:t>
            </w:r>
          </w:p>
        </w:tc>
        <w:tc>
          <w:tcPr>
            <w:tcW w:type="dxa" w:w="1180"/>
            <w:tcMar>
              <w:top w:type="dxa" w:w="50"/>
              <w:left w:type="dxa" w:w="90"/>
              <w:bottom w:type="dxa" w:w="50"/>
              <w:right w:type="dxa" w:w="90"/>
            </w:tcMar>
          </w:tcPr>
          <w:p>
            <w:pPr>
              <w:spacing w:after="30" w:line="248"/>
              <w:jc w:val="center"/>
            </w:pPr>
            <w:r>
              <w:rPr>
                <w:rFonts w:ascii="Times New Roman" w:cs="Times New Roman" w:eastAsia="Times New Roman" w:hAnsi="Times New Roman"/>
                <w:b/>
                <w:bCs/>
                <w:color w:val="444444"/>
                <w:sz w:val="20"/>
                <w:szCs w:val="20"/>
              </w:rPr>
              <w:t xml:space="preserve">WHITE</w:t>
            </w:r>
          </w:p>
        </w:tc>
        <w:tc>
          <w:tcPr>
            <w:tcW w:type="dxa" w:w="1560"/>
            <w:tcMar>
              <w:top w:type="dxa" w:w="50"/>
              <w:left w:type="dxa" w:w="90"/>
              <w:bottom w:type="dxa" w:w="50"/>
              <w:right w:type="dxa" w:w="90"/>
            </w:tcMar>
          </w:tcPr>
          <w:p>
            <w:pPr>
              <w:spacing w:after="30" w:line="248"/>
              <w:jc w:val="center"/>
            </w:pPr>
            <w:r>
              <w:rPr>
                <w:rFonts w:ascii="Times New Roman" w:cs="Times New Roman" w:eastAsia="Times New Roman" w:hAnsi="Times New Roman"/>
                <w:b/>
                <w:bCs/>
                <w:color w:val="444444"/>
                <w:sz w:val="20"/>
                <w:szCs w:val="20"/>
              </w:rPr>
              <w:t xml:space="preserve">WHITE</w:t>
            </w:r>
          </w:p>
        </w:tc>
        <w:tc>
          <w:tcPr>
            <w:tcW w:type="dxa" w:w="2958"/>
            <w:tcMar>
              <w:top w:type="dxa" w:w="50"/>
              <w:left w:type="dxa" w:w="90"/>
              <w:bottom w:type="dxa" w:w="50"/>
              <w:right w:type="dxa" w:w="90"/>
            </w:tcMar>
          </w:tcPr>
          <w:p>
            <w:pPr>
              <w:spacing w:after="30" w:line="248"/>
              <w:jc w:val="left"/>
            </w:pPr>
            <w:r>
              <w:rPr>
                <w:rFonts w:ascii="Times New Roman" w:cs="Times New Roman" w:eastAsia="Times New Roman" w:hAnsi="Times New Roman"/>
                <w:b/>
                <w:bCs/>
                <w:color w:val="555555"/>
                <w:sz w:val="20"/>
                <w:szCs w:val="20"/>
              </w:rPr>
              <w:t xml:space="preserve">Fully aligned</w:t>
            </w:r>
          </w:p>
        </w:tc>
      </w:tr>
      <w:tr>
        <w:tc>
          <w:tcPr>
            <w:tcW w:type="dxa" w:w="2760"/>
            <w:tcMar>
              <w:top w:type="dxa" w:w="50"/>
              <w:left w:type="dxa" w:w="90"/>
              <w:bottom w:type="dxa" w:w="50"/>
              <w:right w:type="dxa" w:w="90"/>
            </w:tcMar>
          </w:tcPr>
          <w:p>
            <w:pPr>
              <w:spacing w:after="30" w:line="248"/>
              <w:jc w:val="left"/>
            </w:pPr>
            <w:r>
              <w:rPr>
                <w:rFonts w:ascii="Times New Roman" w:cs="Times New Roman" w:eastAsia="Times New Roman" w:hAnsi="Times New Roman"/>
                <w:b w:val="false"/>
                <w:bCs w:val="false"/>
                <w:color w:val="1A1A1A"/>
                <w:sz w:val="20"/>
                <w:szCs w:val="20"/>
              </w:rPr>
              <w:t xml:space="preserve">Coir yarn without dyeing</w:t>
            </w:r>
          </w:p>
        </w:tc>
        <w:tc>
          <w:tcPr>
            <w:tcW w:type="dxa" w:w="1180"/>
            <w:tcMar>
              <w:top w:type="dxa" w:w="50"/>
              <w:left w:type="dxa" w:w="90"/>
              <w:bottom w:type="dxa" w:w="50"/>
              <w:right w:type="dxa" w:w="90"/>
            </w:tcMar>
          </w:tcPr>
          <w:p>
            <w:pPr>
              <w:spacing w:after="30" w:line="248"/>
              <w:jc w:val="center"/>
            </w:pPr>
            <w:r>
              <w:rPr>
                <w:rFonts w:ascii="Times New Roman" w:cs="Times New Roman" w:eastAsia="Times New Roman" w:hAnsi="Times New Roman"/>
                <w:b/>
                <w:bCs/>
                <w:color w:val="444444"/>
                <w:sz w:val="20"/>
                <w:szCs w:val="20"/>
              </w:rPr>
              <w:t xml:space="preserve">WHITE</w:t>
            </w:r>
          </w:p>
        </w:tc>
        <w:tc>
          <w:tcPr>
            <w:tcW w:type="dxa" w:w="1180"/>
            <w:tcMar>
              <w:top w:type="dxa" w:w="50"/>
              <w:left w:type="dxa" w:w="90"/>
              <w:bottom w:type="dxa" w:w="50"/>
              <w:right w:type="dxa" w:w="90"/>
            </w:tcMar>
          </w:tcPr>
          <w:p>
            <w:pPr>
              <w:spacing w:after="30" w:line="248"/>
              <w:jc w:val="center"/>
            </w:pPr>
            <w:r>
              <w:rPr>
                <w:rFonts w:ascii="Times New Roman" w:cs="Times New Roman" w:eastAsia="Times New Roman" w:hAnsi="Times New Roman"/>
                <w:b/>
                <w:bCs/>
                <w:color w:val="444444"/>
                <w:sz w:val="20"/>
                <w:szCs w:val="20"/>
              </w:rPr>
              <w:t xml:space="preserve">WHITE</w:t>
            </w:r>
          </w:p>
        </w:tc>
        <w:tc>
          <w:tcPr>
            <w:tcW w:type="dxa" w:w="1560"/>
            <w:tcMar>
              <w:top w:type="dxa" w:w="50"/>
              <w:left w:type="dxa" w:w="90"/>
              <w:bottom w:type="dxa" w:w="50"/>
              <w:right w:type="dxa" w:w="90"/>
            </w:tcMar>
          </w:tcPr>
          <w:p>
            <w:pPr>
              <w:spacing w:after="30" w:line="248"/>
              <w:jc w:val="center"/>
            </w:pPr>
            <w:r>
              <w:rPr>
                <w:rFonts w:ascii="Times New Roman" w:cs="Times New Roman" w:eastAsia="Times New Roman" w:hAnsi="Times New Roman"/>
                <w:b/>
                <w:bCs/>
                <w:color w:val="444444"/>
                <w:sz w:val="20"/>
                <w:szCs w:val="20"/>
              </w:rPr>
              <w:t xml:space="preserve">WHITE</w:t>
            </w:r>
          </w:p>
        </w:tc>
        <w:tc>
          <w:tcPr>
            <w:tcW w:type="dxa" w:w="2958"/>
            <w:tcMar>
              <w:top w:type="dxa" w:w="50"/>
              <w:left w:type="dxa" w:w="90"/>
              <w:bottom w:type="dxa" w:w="50"/>
              <w:right w:type="dxa" w:w="90"/>
            </w:tcMar>
          </w:tcPr>
          <w:p>
            <w:pPr>
              <w:spacing w:after="30" w:line="248"/>
              <w:jc w:val="left"/>
            </w:pPr>
            <w:r>
              <w:rPr>
                <w:rFonts w:ascii="Times New Roman" w:cs="Times New Roman" w:eastAsia="Times New Roman" w:hAnsi="Times New Roman"/>
                <w:b/>
                <w:bCs/>
                <w:color w:val="555555"/>
                <w:sz w:val="20"/>
                <w:szCs w:val="20"/>
              </w:rPr>
              <w:t xml:space="preserve">Fully aligned</w:t>
            </w:r>
          </w:p>
        </w:tc>
      </w:tr>
      <w:tr>
        <w:tc>
          <w:tcPr>
            <w:tcW w:type="dxa" w:w="2760"/>
            <w:tcMar>
              <w:top w:type="dxa" w:w="50"/>
              <w:left w:type="dxa" w:w="90"/>
              <w:bottom w:type="dxa" w:w="50"/>
              <w:right w:type="dxa" w:w="90"/>
            </w:tcMar>
          </w:tcPr>
          <w:p>
            <w:pPr>
              <w:spacing w:after="30" w:line="248"/>
              <w:jc w:val="left"/>
            </w:pPr>
            <w:r>
              <w:rPr>
                <w:rFonts w:ascii="Times New Roman" w:cs="Times New Roman" w:eastAsia="Times New Roman" w:hAnsi="Times New Roman"/>
                <w:b w:val="false"/>
                <w:bCs w:val="false"/>
                <w:color w:val="1A1A1A"/>
                <w:sz w:val="20"/>
                <w:szCs w:val="20"/>
              </w:rPr>
              <w:t xml:space="preserve">Coir-pith final product; coir rope; curled coir</w:t>
            </w:r>
          </w:p>
        </w:tc>
        <w:tc>
          <w:tcPr>
            <w:tcW w:type="dxa" w:w="1180"/>
            <w:tcMar>
              <w:top w:type="dxa" w:w="50"/>
              <w:left w:type="dxa" w:w="90"/>
              <w:bottom w:type="dxa" w:w="50"/>
              <w:right w:type="dxa" w:w="90"/>
            </w:tcMar>
          </w:tcPr>
          <w:p>
            <w:pPr>
              <w:spacing w:after="30" w:line="248"/>
              <w:jc w:val="center"/>
            </w:pPr>
            <w:r>
              <w:rPr>
                <w:rFonts w:ascii="Times New Roman" w:cs="Times New Roman" w:eastAsia="Times New Roman" w:hAnsi="Times New Roman"/>
                <w:b/>
                <w:bCs/>
                <w:color w:val="444444"/>
                <w:sz w:val="20"/>
                <w:szCs w:val="20"/>
              </w:rPr>
              <w:t xml:space="preserve">WHITE</w:t>
            </w:r>
          </w:p>
        </w:tc>
        <w:tc>
          <w:tcPr>
            <w:tcW w:type="dxa" w:w="1180"/>
            <w:tcMar>
              <w:top w:type="dxa" w:w="50"/>
              <w:left w:type="dxa" w:w="90"/>
              <w:bottom w:type="dxa" w:w="50"/>
              <w:right w:type="dxa" w:w="90"/>
            </w:tcMar>
          </w:tcPr>
          <w:p>
            <w:pPr>
              <w:spacing w:after="30" w:line="248"/>
              <w:jc w:val="center"/>
            </w:pPr>
            <w:r>
              <w:rPr>
                <w:rFonts w:ascii="Times New Roman" w:cs="Times New Roman" w:eastAsia="Times New Roman" w:hAnsi="Times New Roman"/>
                <w:b/>
                <w:bCs/>
                <w:color w:val="444444"/>
                <w:sz w:val="20"/>
                <w:szCs w:val="20"/>
              </w:rPr>
              <w:t xml:space="preserve">WHITE</w:t>
            </w:r>
          </w:p>
        </w:tc>
        <w:tc>
          <w:tcPr>
            <w:tcW w:type="dxa" w:w="1560"/>
            <w:tcMar>
              <w:top w:type="dxa" w:w="50"/>
              <w:left w:type="dxa" w:w="90"/>
              <w:bottom w:type="dxa" w:w="50"/>
              <w:right w:type="dxa" w:w="90"/>
            </w:tcMar>
          </w:tcPr>
          <w:p>
            <w:pPr>
              <w:spacing w:after="30" w:line="248"/>
              <w:jc w:val="center"/>
            </w:pPr>
            <w:r>
              <w:rPr>
                <w:rFonts w:ascii="Times New Roman" w:cs="Times New Roman" w:eastAsia="Times New Roman" w:hAnsi="Times New Roman"/>
                <w:b/>
                <w:bCs/>
                <w:color w:val="444444"/>
                <w:sz w:val="20"/>
                <w:szCs w:val="20"/>
              </w:rPr>
              <w:t xml:space="preserve">WHITE</w:t>
            </w:r>
          </w:p>
        </w:tc>
        <w:tc>
          <w:tcPr>
            <w:tcW w:type="dxa" w:w="2958"/>
            <w:tcMar>
              <w:top w:type="dxa" w:w="50"/>
              <w:left w:type="dxa" w:w="90"/>
              <w:bottom w:type="dxa" w:w="50"/>
              <w:right w:type="dxa" w:w="90"/>
            </w:tcMar>
          </w:tcPr>
          <w:p>
            <w:pPr>
              <w:spacing w:after="30" w:line="248"/>
              <w:jc w:val="left"/>
            </w:pPr>
            <w:r>
              <w:rPr>
                <w:rFonts w:ascii="Times New Roman" w:cs="Times New Roman" w:eastAsia="Times New Roman" w:hAnsi="Times New Roman"/>
                <w:b/>
                <w:bCs/>
                <w:color w:val="555555"/>
                <w:sz w:val="20"/>
                <w:szCs w:val="20"/>
              </w:rPr>
              <w:t xml:space="preserve">Fully aligned</w:t>
            </w:r>
          </w:p>
        </w:tc>
      </w:tr>
    </w:tbl>
    <w:p>
      <w:pPr>
        <w:spacing w:after="120" w:before="60" w:line="252"/>
      </w:pPr>
      <w:r>
        <w:rPr>
          <w:rFonts w:ascii="Times New Roman" w:cs="Times New Roman" w:eastAsia="Times New Roman" w:hAnsi="Times New Roman"/>
          <w:i/>
          <w:iCs/>
          <w:color w:val="555555"/>
          <w:sz w:val="18"/>
          <w:szCs w:val="18"/>
        </w:rPr>
        <w:t xml:space="preserve">† CPCB's 2016 categorisation list places “Manufacturing of coir items from coconut husks” in the White category; its 2023 draft re-categorisation places dry coir processing in Green, coir items in White, and only wet / dyeing coir in Orange. CPCB does not list ordinary husk retting or dry de-fibring as a Red sector.</w:t>
      </w:r>
    </w:p>
    <w:p>
      <w:pPr>
        <w:spacing w:after="120" w:line="276"/>
      </w:pPr>
      <w:r>
        <w:rPr>
          <w:rFonts w:ascii="Times New Roman" w:cs="Times New Roman" w:eastAsia="Times New Roman" w:hAnsi="Times New Roman"/>
          <w:color w:val="1A1A1A"/>
          <w:sz w:val="22"/>
          <w:szCs w:val="22"/>
        </w:rPr>
        <w:t xml:space="preserve">Read down the last column: on </w:t>
      </w:r>
      <w:r>
        <w:rPr>
          <w:rFonts w:ascii="Times New Roman" w:cs="Times New Roman" w:eastAsia="Times New Roman" w:hAnsi="Times New Roman"/>
          <w:b/>
          <w:bCs/>
          <w:color w:val="1A1A1A"/>
          <w:sz w:val="22"/>
          <w:szCs w:val="22"/>
        </w:rPr>
        <w:t xml:space="preserve">five of seven</w:t>
      </w:r>
      <w:r>
        <w:rPr>
          <w:rFonts w:ascii="Times New Roman" w:cs="Times New Roman" w:eastAsia="Times New Roman" w:hAnsi="Times New Roman"/>
          <w:color w:val="1A1A1A"/>
          <w:sz w:val="22"/>
          <w:szCs w:val="22"/>
        </w:rPr>
        <w:t xml:space="preserve"> activities the three regulators broadly agree. The entire dispute is the </w:t>
      </w:r>
      <w:r>
        <w:rPr>
          <w:rFonts w:ascii="Times New Roman" w:cs="Times New Roman" w:eastAsia="Times New Roman" w:hAnsi="Times New Roman"/>
          <w:b/>
          <w:bCs/>
          <w:color w:val="1A1A1A"/>
          <w:sz w:val="22"/>
          <w:szCs w:val="22"/>
        </w:rPr>
        <w:t xml:space="preserve">top two rows</w:t>
      </w:r>
      <w:r>
        <w:rPr>
          <w:rFonts w:ascii="Times New Roman" w:cs="Times New Roman" w:eastAsia="Times New Roman" w:hAnsi="Times New Roman"/>
          <w:color w:val="1A1A1A"/>
          <w:sz w:val="22"/>
          <w:szCs w:val="22"/>
        </w:rPr>
        <w:t xml:space="preserve"> — retting and de-fibring / ginning — where </w:t>
      </w:r>
      <w:r>
        <w:rPr>
          <w:rFonts w:ascii="Times New Roman" w:cs="Times New Roman" w:eastAsia="Times New Roman" w:hAnsi="Times New Roman"/>
          <w:b/>
          <w:bCs/>
          <w:color w:val="1A1A1A"/>
          <w:sz w:val="22"/>
          <w:szCs w:val="22"/>
        </w:rPr>
        <w:t xml:space="preserve">Kerala stands alone</w:t>
      </w:r>
      <w:r>
        <w:rPr>
          <w:rFonts w:ascii="Times New Roman" w:cs="Times New Roman" w:eastAsia="Times New Roman" w:hAnsi="Times New Roman"/>
          <w:color w:val="1A1A1A"/>
          <w:sz w:val="22"/>
          <w:szCs w:val="22"/>
        </w:rPr>
        <w:t xml:space="preserve"> in imposing Red / Orange treatment on activities that Tamil Nadu and the Central norm regard as White.</w:t>
      </w:r>
    </w:p>
    <w:p>
      <w:pPr>
        <w:pStyle w:val="Heading1"/>
        <w:spacing w:after="100" w:before="220"/>
      </w:pPr>
      <w:r>
        <w:rPr>
          <w:rFonts w:ascii="Times New Roman" w:cs="Times New Roman" w:eastAsia="Times New Roman" w:hAnsi="Times New Roman"/>
          <w:b/>
          <w:bCs/>
          <w:color w:val="0B3D0B"/>
          <w:sz w:val="24"/>
          <w:szCs w:val="24"/>
        </w:rPr>
        <w:t xml:space="preserve">3.  Why this made Pollachi the hub and left Chittur out</w:t>
      </w:r>
    </w:p>
    <w:p>
      <w:pPr>
        <w:spacing w:after="120" w:line="276"/>
      </w:pPr>
      <w:r>
        <w:rPr>
          <w:rFonts w:ascii="Times New Roman" w:cs="Times New Roman" w:eastAsia="Times New Roman" w:hAnsi="Times New Roman"/>
          <w:color w:val="1A1A1A"/>
          <w:sz w:val="22"/>
          <w:szCs w:val="22"/>
        </w:rPr>
        <w:t xml:space="preserve">Category is not a label — it decides whether a small unit can exist. A </w:t>
      </w:r>
      <w:r>
        <w:rPr>
          <w:rFonts w:ascii="Times New Roman" w:cs="Times New Roman" w:eastAsia="Times New Roman" w:hAnsi="Times New Roman"/>
          <w:b/>
          <w:bCs/>
          <w:color w:val="1A1A1A"/>
          <w:sz w:val="22"/>
          <w:szCs w:val="22"/>
        </w:rPr>
        <w:t xml:space="preserve">White</w:t>
      </w:r>
      <w:r>
        <w:rPr>
          <w:rFonts w:ascii="Times New Roman" w:cs="Times New Roman" w:eastAsia="Times New Roman" w:hAnsi="Times New Roman"/>
          <w:color w:val="1A1A1A"/>
          <w:sz w:val="22"/>
          <w:szCs w:val="22"/>
        </w:rPr>
        <w:t xml:space="preserve"> activity needs </w:t>
      </w:r>
      <w:r>
        <w:rPr>
          <w:rFonts w:ascii="Times New Roman" w:cs="Times New Roman" w:eastAsia="Times New Roman" w:hAnsi="Times New Roman"/>
          <w:b/>
          <w:bCs/>
          <w:color w:val="1A1A1A"/>
          <w:sz w:val="22"/>
          <w:szCs w:val="22"/>
        </w:rPr>
        <w:t xml:space="preserve">no Consent to Operate</w:t>
      </w:r>
      <w:r>
        <w:rPr>
          <w:rFonts w:ascii="Times New Roman" w:cs="Times New Roman" w:eastAsia="Times New Roman" w:hAnsi="Times New Roman"/>
          <w:color w:val="1A1A1A"/>
          <w:sz w:val="22"/>
          <w:szCs w:val="22"/>
        </w:rPr>
        <w:t xml:space="preserve">; a simple intimation suffices, and the unit can start almost at once. A </w:t>
      </w:r>
      <w:r>
        <w:rPr>
          <w:rFonts w:ascii="Times New Roman" w:cs="Times New Roman" w:eastAsia="Times New Roman" w:hAnsi="Times New Roman"/>
          <w:b/>
          <w:bCs/>
          <w:color w:val="1A1A1A"/>
          <w:sz w:val="22"/>
          <w:szCs w:val="22"/>
        </w:rPr>
        <w:t xml:space="preserve">Red</w:t>
      </w:r>
      <w:r>
        <w:rPr>
          <w:rFonts w:ascii="Times New Roman" w:cs="Times New Roman" w:eastAsia="Times New Roman" w:hAnsi="Times New Roman"/>
          <w:color w:val="1A1A1A"/>
          <w:sz w:val="22"/>
          <w:szCs w:val="22"/>
        </w:rPr>
        <w:t xml:space="preserve"> activity needs a full Consent to Establish and Consent to Operate and can attract </w:t>
      </w:r>
      <w:r>
        <w:rPr>
          <w:rFonts w:ascii="Times New Roman" w:cs="Times New Roman" w:eastAsia="Times New Roman" w:hAnsi="Times New Roman"/>
          <w:b/>
          <w:bCs/>
          <w:color w:val="1A1A1A"/>
          <w:sz w:val="22"/>
          <w:szCs w:val="22"/>
        </w:rPr>
        <w:t xml:space="preserve">public-hearing-tier scrutiny</w:t>
      </w:r>
      <w:r>
        <w:rPr>
          <w:rFonts w:ascii="Times New Roman" w:cs="Times New Roman" w:eastAsia="Times New Roman" w:hAnsi="Times New Roman"/>
          <w:color w:val="1A1A1A"/>
          <w:sz w:val="22"/>
          <w:szCs w:val="22"/>
        </w:rPr>
        <w:t xml:space="preserve">; an </w:t>
      </w:r>
      <w:r>
        <w:rPr>
          <w:rFonts w:ascii="Times New Roman" w:cs="Times New Roman" w:eastAsia="Times New Roman" w:hAnsi="Times New Roman"/>
          <w:b/>
          <w:bCs/>
          <w:color w:val="1A1A1A"/>
          <w:sz w:val="22"/>
          <w:szCs w:val="22"/>
        </w:rPr>
        <w:t xml:space="preserve">Orange</w:t>
      </w:r>
      <w:r>
        <w:rPr>
          <w:rFonts w:ascii="Times New Roman" w:cs="Times New Roman" w:eastAsia="Times New Roman" w:hAnsi="Times New Roman"/>
          <w:color w:val="1A1A1A"/>
          <w:sz w:val="22"/>
          <w:szCs w:val="22"/>
        </w:rPr>
        <w:t xml:space="preserve"> activity needs the same consents plus periodic monitoring. For a cottage / MSME coir unit, that is the difference between opening and not opening.</w:t>
      </w:r>
    </w:p>
    <w:p>
      <w:pPr>
        <w:spacing w:after="120" w:line="276"/>
      </w:pPr>
      <w:r>
        <w:rPr>
          <w:rFonts w:ascii="Times New Roman" w:cs="Times New Roman" w:eastAsia="Times New Roman" w:hAnsi="Times New Roman"/>
          <w:color w:val="1A1A1A"/>
          <w:sz w:val="22"/>
          <w:szCs w:val="22"/>
        </w:rPr>
        <w:t xml:space="preserve">So a coir entrepreneur — including many from Kerala — does the obvious thing: he sets up retting and de-fibring </w:t>
      </w:r>
      <w:r>
        <w:rPr>
          <w:rFonts w:ascii="Times New Roman" w:cs="Times New Roman" w:eastAsia="Times New Roman" w:hAnsi="Times New Roman"/>
          <w:b/>
          <w:bCs/>
          <w:color w:val="1A1A1A"/>
          <w:sz w:val="22"/>
          <w:szCs w:val="22"/>
        </w:rPr>
        <w:t xml:space="preserve">80 km away in Pollachi</w:t>
      </w:r>
      <w:r>
        <w:rPr>
          <w:rFonts w:ascii="Times New Roman" w:cs="Times New Roman" w:eastAsia="Times New Roman" w:hAnsi="Times New Roman"/>
          <w:color w:val="1A1A1A"/>
          <w:sz w:val="22"/>
          <w:szCs w:val="22"/>
        </w:rPr>
        <w:t xml:space="preserve">, where they are White, and leaves Chittur out. The result on the ground:</w:t>
      </w:r>
    </w:p>
    <w:p>
      <w:pPr>
        <w:pStyle w:val="ListParagraph"/>
        <w:numPr>
          <w:ilvl w:val="0"/>
          <w:numId w:val="2"/>
        </w:numPr>
        <w:spacing w:after="80" w:line="268"/>
      </w:pPr>
      <w:r>
        <w:rPr>
          <w:rFonts w:ascii="Times New Roman" w:cs="Times New Roman" w:eastAsia="Times New Roman" w:hAnsi="Times New Roman"/>
          <w:b/>
          <w:bCs/>
          <w:color w:val="1A1A1A"/>
          <w:sz w:val="22"/>
          <w:szCs w:val="22"/>
        </w:rPr>
        <w:t xml:space="preserve">The husk moves, not the value. </w:t>
      </w:r>
      <w:r>
        <w:rPr>
          <w:rFonts w:ascii="Times New Roman" w:cs="Times New Roman" w:eastAsia="Times New Roman" w:hAnsi="Times New Roman"/>
          <w:color w:val="1A1A1A"/>
          <w:sz w:val="22"/>
          <w:szCs w:val="22"/>
        </w:rPr>
        <w:t xml:space="preserve">Our coconut husk is carted to Pollachi, processed there, and the fibre, pith, jobs and margins are booked in Tamil Nadu.</w:t>
      </w:r>
    </w:p>
    <w:p>
      <w:pPr>
        <w:pStyle w:val="ListParagraph"/>
        <w:numPr>
          <w:ilvl w:val="0"/>
          <w:numId w:val="2"/>
        </w:numPr>
        <w:spacing w:after="80" w:line="268"/>
      </w:pPr>
      <w:r>
        <w:rPr>
          <w:rFonts w:ascii="Times New Roman" w:cs="Times New Roman" w:eastAsia="Times New Roman" w:hAnsi="Times New Roman"/>
          <w:b/>
          <w:bCs/>
          <w:color w:val="1A1A1A"/>
          <w:sz w:val="22"/>
          <w:szCs w:val="22"/>
        </w:rPr>
        <w:t xml:space="preserve">Pollachi is a coir cluster; Chittur is a supplier of raw husk. </w:t>
      </w:r>
      <w:r>
        <w:rPr>
          <w:rFonts w:ascii="Times New Roman" w:cs="Times New Roman" w:eastAsia="Times New Roman" w:hAnsi="Times New Roman"/>
          <w:color w:val="1A1A1A"/>
          <w:sz w:val="22"/>
          <w:szCs w:val="22"/>
        </w:rPr>
        <w:t xml:space="preserve">The same raw material and the same process chain, but the primary industry clustered on the side of the border where the category is lighter.</w:t>
      </w:r>
    </w:p>
    <w:p>
      <w:pPr>
        <w:pStyle w:val="ListParagraph"/>
        <w:numPr>
          <w:ilvl w:val="0"/>
          <w:numId w:val="2"/>
        </w:numPr>
        <w:spacing w:after="80" w:line="268"/>
      </w:pPr>
      <w:r>
        <w:rPr>
          <w:rFonts w:ascii="Times New Roman" w:cs="Times New Roman" w:eastAsia="Times New Roman" w:hAnsi="Times New Roman"/>
          <w:b/>
          <w:bCs/>
          <w:color w:val="1A1A1A"/>
          <w:sz w:val="22"/>
          <w:szCs w:val="22"/>
        </w:rPr>
        <w:t xml:space="preserve">Farmers lose twice. </w:t>
      </w:r>
      <w:r>
        <w:rPr>
          <w:rFonts w:ascii="Times New Roman" w:cs="Times New Roman" w:eastAsia="Times New Roman" w:hAnsi="Times New Roman"/>
          <w:color w:val="1A1A1A"/>
          <w:sz w:val="22"/>
          <w:szCs w:val="22"/>
        </w:rPr>
        <w:t xml:space="preserve">We forgo the price a local processing demand would give our husk, and we forgo the local employment that retting, de-fibring and pith units would create in the Chittur belt.</w:t>
      </w:r>
    </w:p>
    <w:p>
      <w:pPr>
        <w:pStyle w:val="Heading1"/>
        <w:spacing w:after="100" w:before="220"/>
      </w:pPr>
      <w:r>
        <w:rPr>
          <w:rFonts w:ascii="Times New Roman" w:cs="Times New Roman" w:eastAsia="Times New Roman" w:hAnsi="Times New Roman"/>
          <w:b/>
          <w:bCs/>
          <w:color w:val="0B3D0B"/>
          <w:sz w:val="24"/>
          <w:szCs w:val="24"/>
        </w:rPr>
        <w:t xml:space="preserve">4.  The re-alignment is squarely within the Central norm — not a dilution of safeguards</w:t>
      </w:r>
    </w:p>
    <w:p>
      <w:pPr>
        <w:spacing w:after="120" w:line="276"/>
      </w:pPr>
      <w:r>
        <w:rPr>
          <w:rFonts w:ascii="Times New Roman" w:cs="Times New Roman" w:eastAsia="Times New Roman" w:hAnsi="Times New Roman"/>
          <w:color w:val="1A1A1A"/>
          <w:sz w:val="22"/>
          <w:szCs w:val="22"/>
        </w:rPr>
        <w:t xml:space="preserve">Classification is governed by a national, Pollution-Index (PI) methodology. The </w:t>
      </w:r>
      <w:r>
        <w:rPr>
          <w:rFonts w:ascii="Times New Roman" w:cs="Times New Roman" w:eastAsia="Times New Roman" w:hAnsi="Times New Roman"/>
          <w:b/>
          <w:bCs/>
          <w:color w:val="1A1A1A"/>
          <w:sz w:val="22"/>
          <w:szCs w:val="22"/>
        </w:rPr>
        <w:t xml:space="preserve">CPCB Directions dated 07-03-2016 (No. B-29012/ESS(CPA)/2015-16)</w:t>
      </w:r>
      <w:r>
        <w:rPr>
          <w:rFonts w:ascii="Times New Roman" w:cs="Times New Roman" w:eastAsia="Times New Roman" w:hAnsi="Times New Roman"/>
          <w:color w:val="1A1A1A"/>
          <w:sz w:val="22"/>
          <w:szCs w:val="22"/>
        </w:rPr>
        <w:t xml:space="preserve">, under </w:t>
      </w:r>
      <w:r>
        <w:rPr>
          <w:rFonts w:ascii="Times New Roman" w:cs="Times New Roman" w:eastAsia="Times New Roman" w:hAnsi="Times New Roman"/>
          <w:b/>
          <w:bCs/>
          <w:color w:val="1A1A1A"/>
          <w:sz w:val="22"/>
          <w:szCs w:val="22"/>
        </w:rPr>
        <w:t xml:space="preserve">Section 18(1)(b) of the Water (Prevention and Control of Pollution) Act, 1974</w:t>
      </w:r>
      <w:r>
        <w:rPr>
          <w:rFonts w:ascii="Times New Roman" w:cs="Times New Roman" w:eastAsia="Times New Roman" w:hAnsi="Times New Roman"/>
          <w:color w:val="1A1A1A"/>
          <w:sz w:val="22"/>
          <w:szCs w:val="22"/>
        </w:rPr>
        <w:t xml:space="preserve">, fix the tiers by PI — </w:t>
      </w:r>
      <w:r>
        <w:rPr>
          <w:rFonts w:ascii="Times New Roman" w:cs="Times New Roman" w:eastAsia="Times New Roman" w:hAnsi="Times New Roman"/>
          <w:b/>
          <w:bCs/>
          <w:color w:val="1A1A1A"/>
          <w:sz w:val="22"/>
          <w:szCs w:val="22"/>
        </w:rPr>
        <w:t xml:space="preserve">Red ≥ 60, Orange 41–59, Green 21–40, White ≤ 20</w:t>
      </w:r>
      <w:r>
        <w:rPr>
          <w:rFonts w:ascii="Times New Roman" w:cs="Times New Roman" w:eastAsia="Times New Roman" w:hAnsi="Times New Roman"/>
          <w:color w:val="1A1A1A"/>
          <w:sz w:val="22"/>
          <w:szCs w:val="22"/>
        </w:rPr>
        <w:t xml:space="preserve"> — carried forward by the CPCB Directions of 2025. On that very scale a dry mechanical </w:t>
      </w:r>
      <w:r>
        <w:rPr>
          <w:rFonts w:ascii="Times New Roman" w:cs="Times New Roman" w:eastAsia="Times New Roman" w:hAnsi="Times New Roman"/>
          <w:b/>
          <w:bCs/>
          <w:color w:val="1A1A1A"/>
          <w:sz w:val="22"/>
          <w:szCs w:val="22"/>
        </w:rPr>
        <w:t xml:space="preserve">de-fibring / ginning</w:t>
      </w:r>
      <w:r>
        <w:rPr>
          <w:rFonts w:ascii="Times New Roman" w:cs="Times New Roman" w:eastAsia="Times New Roman" w:hAnsi="Times New Roman"/>
          <w:color w:val="1A1A1A"/>
          <w:sz w:val="22"/>
          <w:szCs w:val="22"/>
        </w:rPr>
        <w:t xml:space="preserve"> operation is low-index and is treated as White; the Central list itself places coir manufacturing from coconut husks in White.</w:t>
      </w:r>
    </w:p>
    <w:p>
      <w:pPr>
        <w:spacing w:after="120" w:line="276"/>
      </w:pPr>
      <w:r>
        <w:rPr>
          <w:rFonts w:ascii="Times New Roman" w:cs="Times New Roman" w:eastAsia="Times New Roman" w:hAnsi="Times New Roman"/>
          <w:color w:val="1A1A1A"/>
          <w:sz w:val="22"/>
          <w:szCs w:val="22"/>
        </w:rPr>
        <w:t xml:space="preserve">Tamil Nadu proved the point in practice. By proceedings dated </w:t>
      </w:r>
      <w:r>
        <w:rPr>
          <w:rFonts w:ascii="Times New Roman" w:cs="Times New Roman" w:eastAsia="Times New Roman" w:hAnsi="Times New Roman"/>
          <w:b/>
          <w:bCs/>
          <w:color w:val="1A1A1A"/>
          <w:sz w:val="22"/>
          <w:szCs w:val="22"/>
        </w:rPr>
        <w:t xml:space="preserve">10-11-2021</w:t>
      </w:r>
      <w:r>
        <w:rPr>
          <w:rFonts w:ascii="Times New Roman" w:cs="Times New Roman" w:eastAsia="Times New Roman" w:hAnsi="Times New Roman"/>
          <w:color w:val="1A1A1A"/>
          <w:sz w:val="22"/>
          <w:szCs w:val="22"/>
        </w:rPr>
        <w:t xml:space="preserve"> TNPCB moved coir from White to Orange; after representations from coir associations it </w:t>
      </w:r>
      <w:r>
        <w:rPr>
          <w:rFonts w:ascii="Times New Roman" w:cs="Times New Roman" w:eastAsia="Times New Roman" w:hAnsi="Times New Roman"/>
          <w:b/>
          <w:bCs/>
          <w:color w:val="1A1A1A"/>
          <w:sz w:val="22"/>
          <w:szCs w:val="22"/>
        </w:rPr>
        <w:t xml:space="preserve">withdrew</w:t>
      </w:r>
      <w:r>
        <w:rPr>
          <w:rFonts w:ascii="Times New Roman" w:cs="Times New Roman" w:eastAsia="Times New Roman" w:hAnsi="Times New Roman"/>
          <w:color w:val="1A1A1A"/>
          <w:sz w:val="22"/>
          <w:szCs w:val="22"/>
        </w:rPr>
        <w:t xml:space="preserve"> that on </w:t>
      </w:r>
      <w:r>
        <w:rPr>
          <w:rFonts w:ascii="Times New Roman" w:cs="Times New Roman" w:eastAsia="Times New Roman" w:hAnsi="Times New Roman"/>
          <w:b/>
          <w:bCs/>
          <w:color w:val="1A1A1A"/>
          <w:sz w:val="22"/>
          <w:szCs w:val="22"/>
        </w:rPr>
        <w:t xml:space="preserve">12-10-2023</w:t>
      </w:r>
      <w:r>
        <w:rPr>
          <w:rFonts w:ascii="Times New Roman" w:cs="Times New Roman" w:eastAsia="Times New Roman" w:hAnsi="Times New Roman"/>
          <w:color w:val="1A1A1A"/>
          <w:sz w:val="22"/>
          <w:szCs w:val="22"/>
        </w:rPr>
        <w:t xml:space="preserve">, restoring the “coconut-husk retting / de-fibering / pith-processing industry” to White, expressly to protect the agro-based cottage MSME sector (Annexure B). Retting does use water — but that is best handled by </w:t>
      </w:r>
      <w:r>
        <w:rPr>
          <w:rFonts w:ascii="Times New Roman" w:cs="Times New Roman" w:eastAsia="Times New Roman" w:hAnsi="Times New Roman"/>
          <w:b/>
          <w:bCs/>
          <w:color w:val="1A1A1A"/>
          <w:sz w:val="22"/>
          <w:szCs w:val="22"/>
        </w:rPr>
        <w:t xml:space="preserve">Zero-Liquid-Discharge at a shared Common Facility Centre</w:t>
      </w:r>
      <w:r>
        <w:rPr>
          <w:rFonts w:ascii="Times New Roman" w:cs="Times New Roman" w:eastAsia="Times New Roman" w:hAnsi="Times New Roman"/>
          <w:color w:val="1A1A1A"/>
          <w:sz w:val="22"/>
          <w:szCs w:val="22"/>
        </w:rPr>
        <w:t xml:space="preserve">, exactly as Tamil Nadu does, not by a Red-category barrier that simply exports the industry.</w:t>
      </w:r>
    </w:p>
    <w:p>
      <w:pPr>
        <w:pStyle w:val="Heading1"/>
        <w:spacing w:after="100" w:before="220"/>
      </w:pPr>
      <w:r>
        <w:rPr>
          <w:rFonts w:ascii="Times New Roman" w:cs="Times New Roman" w:eastAsia="Times New Roman" w:hAnsi="Times New Roman"/>
          <w:b/>
          <w:bCs/>
          <w:color w:val="0B3D0B"/>
          <w:sz w:val="24"/>
          <w:szCs w:val="24"/>
        </w:rPr>
        <w:t xml:space="preserve">5.  Our prayer</w:t>
      </w:r>
    </w:p>
    <w:p>
      <w:pPr>
        <w:spacing w:after="120" w:line="276"/>
      </w:pPr>
      <w:r>
        <w:rPr>
          <w:rFonts w:ascii="Times New Roman" w:cs="Times New Roman" w:eastAsia="Times New Roman" w:hAnsi="Times New Roman"/>
          <w:color w:val="1A1A1A"/>
          <w:sz w:val="22"/>
          <w:szCs w:val="22"/>
        </w:rPr>
        <w:t xml:space="preserve">We humbly request the Hon'ble Minister in charge of Pollution Control, in consultation with the Chief Minister and the Minister for Industries, to direct the Kerala State Pollution Control Board to:</w:t>
      </w:r>
    </w:p>
    <w:p>
      <w:pPr>
        <w:pStyle w:val="ListParagraph"/>
        <w:numPr>
          <w:ilvl w:val="0"/>
          <w:numId w:val="3"/>
        </w:numPr>
        <w:spacing w:after="100" w:line="276"/>
      </w:pPr>
      <w:r>
        <w:rPr>
          <w:rFonts w:ascii="Times New Roman" w:cs="Times New Roman" w:eastAsia="Times New Roman" w:hAnsi="Times New Roman"/>
          <w:b/>
          <w:bCs/>
          <w:color w:val="1A1A1A"/>
          <w:sz w:val="22"/>
          <w:szCs w:val="22"/>
        </w:rPr>
        <w:t xml:space="preserve">Reclassify coir de-fibring / ginning from Orange to White</w:t>
      </w:r>
      <w:r>
        <w:rPr>
          <w:rFonts w:ascii="Times New Roman" w:cs="Times New Roman" w:eastAsia="Times New Roman" w:hAnsi="Times New Roman"/>
          <w:color w:val="1A1A1A"/>
          <w:sz w:val="22"/>
          <w:szCs w:val="22"/>
        </w:rPr>
        <w:t xml:space="preserve"> (a dry mechanical process, as the Central norm and Tamil Nadu treat it).</w:t>
      </w:r>
    </w:p>
    <w:p>
      <w:pPr>
        <w:pStyle w:val="ListParagraph"/>
        <w:numPr>
          <w:ilvl w:val="0"/>
          <w:numId w:val="3"/>
        </w:numPr>
        <w:spacing w:after="100" w:line="276"/>
      </w:pPr>
      <w:r>
        <w:rPr>
          <w:rFonts w:ascii="Times New Roman" w:cs="Times New Roman" w:eastAsia="Times New Roman" w:hAnsi="Times New Roman"/>
          <w:b/>
          <w:bCs/>
          <w:color w:val="1A1A1A"/>
          <w:sz w:val="22"/>
          <w:szCs w:val="22"/>
        </w:rPr>
        <w:t xml:space="preserve">Reduce coconut-husk retting from Red to Green</w:t>
      </w:r>
      <w:r>
        <w:rPr>
          <w:rFonts w:ascii="Times New Roman" w:cs="Times New Roman" w:eastAsia="Times New Roman" w:hAnsi="Times New Roman"/>
          <w:color w:val="1A1A1A"/>
          <w:sz w:val="22"/>
          <w:szCs w:val="22"/>
        </w:rPr>
        <w:t xml:space="preserve">, with mandatory Zero-Liquid-Discharge / common effluent safeguards, in line with the CPCB PI methodology and Tamil Nadu's White treatment. Bleaching / dyeing / stencilling may remain regulated (Orange), as they alone involve chemicals.</w:t>
      </w:r>
    </w:p>
    <w:p>
      <w:pPr>
        <w:pStyle w:val="ListParagraph"/>
        <w:numPr>
          <w:ilvl w:val="0"/>
          <w:numId w:val="3"/>
        </w:numPr>
        <w:spacing w:after="100" w:line="276"/>
      </w:pPr>
      <w:r>
        <w:rPr>
          <w:rFonts w:ascii="Times New Roman" w:cs="Times New Roman" w:eastAsia="Times New Roman" w:hAnsi="Times New Roman"/>
          <w:b/>
          <w:bCs/>
          <w:color w:val="1A1A1A"/>
          <w:sz w:val="22"/>
          <w:szCs w:val="22"/>
        </w:rPr>
        <w:t xml:space="preserve">Sanction a coir Common Facility Centre and cluster status for Chittur</w:t>
      </w:r>
      <w:r>
        <w:rPr>
          <w:rFonts w:ascii="Times New Roman" w:cs="Times New Roman" w:eastAsia="Times New Roman" w:hAnsi="Times New Roman"/>
          <w:color w:val="1A1A1A"/>
          <w:sz w:val="22"/>
          <w:szCs w:val="22"/>
        </w:rPr>
        <w:t xml:space="preserve"> (mechanised de-fibring, pith washing / block-making with ZLD and salinity management), so that environmental safeguards are met collectively and cheaply.</w:t>
      </w:r>
    </w:p>
    <w:p>
      <w:pPr>
        <w:pStyle w:val="ListParagraph"/>
        <w:numPr>
          <w:ilvl w:val="0"/>
          <w:numId w:val="3"/>
        </w:numPr>
        <w:spacing w:after="100" w:line="276"/>
      </w:pPr>
      <w:r>
        <w:rPr>
          <w:rFonts w:ascii="Times New Roman" w:cs="Times New Roman" w:eastAsia="Times New Roman" w:hAnsi="Times New Roman"/>
          <w:b/>
          <w:bCs/>
          <w:color w:val="1A1A1A"/>
          <w:sz w:val="22"/>
          <w:szCs w:val="22"/>
        </w:rPr>
        <w:t xml:space="preserve">Ensure a level playing field with Pollachi</w:t>
      </w:r>
      <w:r>
        <w:rPr>
          <w:rFonts w:ascii="Times New Roman" w:cs="Times New Roman" w:eastAsia="Times New Roman" w:hAnsi="Times New Roman"/>
          <w:color w:val="1A1A1A"/>
          <w:sz w:val="22"/>
          <w:szCs w:val="22"/>
        </w:rPr>
        <w:t xml:space="preserve"> — including power-tariff parity and MSME incentives — so that the value of Kerala's own coconut husk is retained in Kerala.</w:t>
      </w:r>
    </w:p>
    <w:p>
      <w:pPr>
        <w:pStyle w:val="Heading1"/>
        <w:spacing w:after="100" w:before="220"/>
      </w:pPr>
      <w:r>
        <w:rPr>
          <w:rFonts w:ascii="Times New Roman" w:cs="Times New Roman" w:eastAsia="Times New Roman" w:hAnsi="Times New Roman"/>
          <w:b/>
          <w:bCs/>
          <w:color w:val="0B3D0B"/>
          <w:sz w:val="24"/>
          <w:szCs w:val="24"/>
        </w:rPr>
        <w:t xml:space="preserve">6.  Annexures</w:t>
      </w:r>
    </w:p>
    <w:p>
      <w:pPr>
        <w:pStyle w:val="ListParagraph"/>
        <w:numPr>
          <w:ilvl w:val="0"/>
          <w:numId w:val="2"/>
        </w:numPr>
        <w:spacing w:after="80" w:line="268"/>
      </w:pPr>
      <w:r>
        <w:rPr>
          <w:rFonts w:ascii="Times New Roman" w:cs="Times New Roman" w:eastAsia="Times New Roman" w:hAnsi="Times New Roman"/>
          <w:b/>
          <w:bCs/>
          <w:color w:val="1A1A1A"/>
          <w:sz w:val="22"/>
          <w:szCs w:val="22"/>
        </w:rPr>
        <w:t xml:space="preserve">Annexure A — </w:t>
      </w:r>
      <w:r>
        <w:rPr>
          <w:rFonts w:ascii="Times New Roman" w:cs="Times New Roman" w:eastAsia="Times New Roman" w:hAnsi="Times New Roman"/>
          <w:color w:val="1A1A1A"/>
          <w:sz w:val="22"/>
          <w:szCs w:val="22"/>
        </w:rPr>
        <w:t xml:space="preserve">KSPCB current classification of coir processes (December 2025).</w:t>
      </w:r>
    </w:p>
    <w:p>
      <w:pPr>
        <w:pStyle w:val="ListParagraph"/>
        <w:numPr>
          <w:ilvl w:val="0"/>
          <w:numId w:val="2"/>
        </w:numPr>
        <w:spacing w:after="80" w:line="268"/>
      </w:pPr>
      <w:r>
        <w:rPr>
          <w:rFonts w:ascii="Times New Roman" w:cs="Times New Roman" w:eastAsia="Times New Roman" w:hAnsi="Times New Roman"/>
          <w:b/>
          <w:bCs/>
          <w:color w:val="1A1A1A"/>
          <w:sz w:val="22"/>
          <w:szCs w:val="22"/>
        </w:rPr>
        <w:t xml:space="preserve">Annexure B — </w:t>
      </w:r>
      <w:r>
        <w:rPr>
          <w:rFonts w:ascii="Times New Roman" w:cs="Times New Roman" w:eastAsia="Times New Roman" w:hAnsi="Times New Roman"/>
          <w:color w:val="1A1A1A"/>
          <w:sz w:val="22"/>
          <w:szCs w:val="22"/>
        </w:rPr>
        <w:t xml:space="preserve">TNPCB: coir retained in the White category — the 10-11-2021 Orange reclassification and its withdrawal on 12-10-2023.</w:t>
      </w:r>
    </w:p>
    <w:p>
      <w:pPr>
        <w:pStyle w:val="ListParagraph"/>
        <w:numPr>
          <w:ilvl w:val="0"/>
          <w:numId w:val="2"/>
        </w:numPr>
        <w:spacing w:after="80" w:line="268"/>
      </w:pPr>
      <w:r>
        <w:rPr>
          <w:rFonts w:ascii="Times New Roman" w:cs="Times New Roman" w:eastAsia="Times New Roman" w:hAnsi="Times New Roman"/>
          <w:b/>
          <w:bCs/>
          <w:color w:val="1A1A1A"/>
          <w:sz w:val="22"/>
          <w:szCs w:val="22"/>
        </w:rPr>
        <w:t xml:space="preserve">Annexure C — </w:t>
      </w:r>
      <w:r>
        <w:rPr>
          <w:rFonts w:ascii="Times New Roman" w:cs="Times New Roman" w:eastAsia="Times New Roman" w:hAnsi="Times New Roman"/>
          <w:color w:val="1A1A1A"/>
          <w:sz w:val="22"/>
          <w:szCs w:val="22"/>
        </w:rPr>
        <w:t xml:space="preserve">Model draft Government Order for the Government's consideration.</w:t>
      </w:r>
    </w:p>
    <w:p>
      <w:pPr>
        <w:spacing w:after="60" w:before="220"/>
      </w:pPr>
      <w:r>
        <w:rPr>
          <w:rFonts w:ascii="Times New Roman" w:cs="Times New Roman" w:eastAsia="Times New Roman" w:hAnsi="Times New Roman"/>
          <w:color w:val="1A1A1A"/>
          <w:sz w:val="22"/>
          <w:szCs w:val="22"/>
        </w:rPr>
        <w:t xml:space="preserve">Respectfully submitted,</w:t>
      </w:r>
    </w:p>
    <w:p>
      <w:pPr>
        <w:spacing w:after="220"/>
      </w:pPr>
      <w:r>
        <w:rPr>
          <w:rFonts w:ascii="Times New Roman" w:cs="Times New Roman" w:eastAsia="Times New Roman" w:hAnsi="Times New Roman"/>
          <w:color w:val="1A1A1A"/>
          <w:sz w:val="22"/>
          <w:szCs w:val="22"/>
        </w:rPr>
        <w:t xml:space="preserve">For and on behalf of the coconut farmers of the Chittur Assembly Constituency,</w:t>
      </w:r>
    </w:p>
    <w:p>
      <w:pPr>
        <w:spacing w:after="20"/>
      </w:pPr>
      <w:r>
        <w:rPr>
          <w:rFonts w:ascii="Times New Roman" w:cs="Times New Roman" w:eastAsia="Times New Roman" w:hAnsi="Times New Roman"/>
          <w:color w:val="1A1A1A"/>
          <w:sz w:val="22"/>
          <w:szCs w:val="22"/>
        </w:rPr>
        <w:t xml:space="preserve">_________________________________</w:t>
      </w:r>
    </w:p>
    <w:p>
      <w:pPr>
        <w:spacing w:after="20"/>
      </w:pPr>
      <w:r>
        <w:rPr>
          <w:rFonts w:ascii="Times New Roman" w:cs="Times New Roman" w:eastAsia="Times New Roman" w:hAnsi="Times New Roman"/>
          <w:b/>
          <w:bCs/>
          <w:color w:val="1A1A1A"/>
          <w:sz w:val="22"/>
          <w:szCs w:val="22"/>
        </w:rPr>
        <w:t xml:space="preserve">Arun</w:t>
      </w:r>
      <w:r>
        <w:rPr>
          <w:rFonts w:ascii="Times New Roman" w:cs="Times New Roman" w:eastAsia="Times New Roman" w:hAnsi="Times New Roman"/>
          <w:color w:val="1A1A1A"/>
          <w:sz w:val="22"/>
          <w:szCs w:val="22"/>
        </w:rPr>
        <w:t xml:space="preserve">  (authorised representative of the petitioner farmers)</w:t>
      </w:r>
    </w:p>
    <w:p>
      <w:pPr>
        <w:spacing w:after="60"/>
      </w:pPr>
      <w:r>
        <w:rPr>
          <w:rFonts w:ascii="Times New Roman" w:cs="Times New Roman" w:eastAsia="Times New Roman" w:hAnsi="Times New Roman"/>
          <w:color w:val="1A1A1A"/>
          <w:sz w:val="22"/>
          <w:szCs w:val="22"/>
        </w:rPr>
        <w:t xml:space="preserve">[Phone / Email]</w:t>
      </w:r>
    </w:p>
    <w:p>
      <w:pPr>
        <w:pageBreakBefore/>
      </w:pPr>
      <w:r>
        <w:br/>
      </w:r>
    </w:p>
    <w:p>
      <w:pPr>
        <w:pStyle w:val="Heading1"/>
        <w:spacing w:after="120" w:before="160"/>
        <w:jc w:val="center"/>
      </w:pPr>
      <w:r>
        <w:rPr>
          <w:rFonts w:ascii="Times New Roman" w:cs="Times New Roman" w:eastAsia="Times New Roman" w:hAnsi="Times New Roman"/>
          <w:b/>
          <w:bCs/>
          <w:color w:val="0B3D0B"/>
          <w:sz w:val="24"/>
          <w:szCs w:val="24"/>
        </w:rPr>
        <w:t xml:space="preserve">ANNEXURE A</w:t>
      </w:r>
    </w:p>
    <w:p>
      <w:pPr>
        <w:spacing w:after="160"/>
        <w:jc w:val="center"/>
      </w:pPr>
      <w:r>
        <w:rPr>
          <w:rFonts w:ascii="Times New Roman" w:cs="Times New Roman" w:eastAsia="Times New Roman" w:hAnsi="Times New Roman"/>
          <w:b/>
          <w:bCs/>
          <w:color w:val="1A1A1A"/>
          <w:sz w:val="22"/>
          <w:szCs w:val="22"/>
        </w:rPr>
        <w:t xml:space="preserve">KSPCB classification of coir processes — current list (December 2025)</w:t>
      </w:r>
    </w:p>
    <w:p>
      <w:pPr>
        <w:spacing w:after="120" w:line="276"/>
      </w:pPr>
      <w:r>
        <w:rPr>
          <w:rFonts w:ascii="Times New Roman" w:cs="Times New Roman" w:eastAsia="Times New Roman" w:hAnsi="Times New Roman"/>
          <w:i/>
          <w:iCs/>
          <w:color w:val="555555"/>
          <w:sz w:val="20"/>
          <w:szCs w:val="20"/>
        </w:rPr>
        <w:t xml:space="preserve">Transcribed from the Kerala State Pollution Control Board's current classification of industrial sectors. The source list is to be annexed to this petition in original.</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000"/>
        <w:gridCol w:w="5638"/>
        <w:gridCol w:w="2000"/>
      </w:tblGrid>
      <w:tr>
        <w:trPr>
          <w:tblHeader/>
        </w:trPr>
        <w:tc>
          <w:tcPr>
            <w:tcW w:type="dxa" w:w="2000"/>
            <w:shd w:fill="E9EFE9" w:color="auto" w:val="clear"/>
            <w:tcMar>
              <w:top w:type="dxa" w:w="50"/>
              <w:left w:type="dxa" w:w="90"/>
              <w:bottom w:type="dxa" w:w="50"/>
              <w:right w:type="dxa" w:w="90"/>
            </w:tcMar>
          </w:tcPr>
          <w:p>
            <w:pPr>
              <w:spacing w:after="30" w:line="248"/>
              <w:jc w:val="center"/>
            </w:pPr>
            <w:r>
              <w:rPr>
                <w:rFonts w:ascii="Times New Roman" w:cs="Times New Roman" w:eastAsia="Times New Roman" w:hAnsi="Times New Roman"/>
                <w:b/>
                <w:bCs/>
                <w:color w:val="222222"/>
                <w:sz w:val="20"/>
                <w:szCs w:val="20"/>
              </w:rPr>
              <w:t xml:space="preserve">Category</w:t>
            </w:r>
          </w:p>
        </w:tc>
        <w:tc>
          <w:tcPr>
            <w:tcW w:type="dxa" w:w="5638"/>
            <w:shd w:fill="E9EFE9" w:color="auto" w:val="clear"/>
            <w:tcMar>
              <w:top w:type="dxa" w:w="50"/>
              <w:left w:type="dxa" w:w="90"/>
              <w:bottom w:type="dxa" w:w="50"/>
              <w:right w:type="dxa" w:w="90"/>
            </w:tcMar>
          </w:tcPr>
          <w:p>
            <w:pPr>
              <w:spacing w:after="30" w:line="248"/>
              <w:jc w:val="left"/>
            </w:pPr>
            <w:r>
              <w:rPr>
                <w:rFonts w:ascii="Times New Roman" w:cs="Times New Roman" w:eastAsia="Times New Roman" w:hAnsi="Times New Roman"/>
                <w:b/>
                <w:bCs/>
                <w:color w:val="222222"/>
                <w:sz w:val="20"/>
                <w:szCs w:val="20"/>
              </w:rPr>
              <w:t xml:space="preserve">Coir activity</w:t>
            </w:r>
          </w:p>
        </w:tc>
        <w:tc>
          <w:tcPr>
            <w:tcW w:type="dxa" w:w="2000"/>
            <w:shd w:fill="E9EFE9" w:color="auto" w:val="clear"/>
            <w:tcMar>
              <w:top w:type="dxa" w:w="50"/>
              <w:left w:type="dxa" w:w="90"/>
              <w:bottom w:type="dxa" w:w="50"/>
              <w:right w:type="dxa" w:w="90"/>
            </w:tcMar>
          </w:tcPr>
          <w:p>
            <w:pPr>
              <w:spacing w:after="30" w:line="248"/>
              <w:jc w:val="left"/>
            </w:pPr>
            <w:r>
              <w:rPr>
                <w:rFonts w:ascii="Times New Roman" w:cs="Times New Roman" w:eastAsia="Times New Roman" w:hAnsi="Times New Roman"/>
                <w:b/>
                <w:bCs/>
                <w:color w:val="222222"/>
                <w:sz w:val="20"/>
                <w:szCs w:val="20"/>
              </w:rPr>
              <w:t xml:space="preserve">Consent regime</w:t>
            </w:r>
          </w:p>
        </w:tc>
      </w:tr>
      <w:tr>
        <w:tc>
          <w:tcPr>
            <w:tcW w:type="dxa" w:w="2000"/>
            <w:tcMar>
              <w:top w:type="dxa" w:w="50"/>
              <w:left w:type="dxa" w:w="90"/>
              <w:bottom w:type="dxa" w:w="50"/>
              <w:right w:type="dxa" w:w="90"/>
            </w:tcMar>
          </w:tcPr>
          <w:p>
            <w:pPr>
              <w:spacing w:after="30" w:line="248"/>
              <w:jc w:val="center"/>
            </w:pPr>
            <w:r>
              <w:rPr>
                <w:rFonts w:ascii="Times New Roman" w:cs="Times New Roman" w:eastAsia="Times New Roman" w:hAnsi="Times New Roman"/>
                <w:b/>
                <w:bCs/>
                <w:color w:val="C0392B"/>
                <w:sz w:val="20"/>
                <w:szCs w:val="20"/>
              </w:rPr>
              <w:t xml:space="preserve">RED</w:t>
            </w:r>
          </w:p>
        </w:tc>
        <w:tc>
          <w:tcPr>
            <w:tcW w:type="dxa" w:w="5638"/>
            <w:tcMar>
              <w:top w:type="dxa" w:w="50"/>
              <w:left w:type="dxa" w:w="90"/>
              <w:bottom w:type="dxa" w:w="50"/>
              <w:right w:type="dxa" w:w="90"/>
            </w:tcMar>
          </w:tcPr>
          <w:p>
            <w:pPr>
              <w:spacing w:after="30" w:line="248"/>
              <w:jc w:val="left"/>
            </w:pPr>
            <w:r>
              <w:rPr>
                <w:rFonts w:ascii="Times New Roman" w:cs="Times New Roman" w:eastAsia="Times New Roman" w:hAnsi="Times New Roman"/>
                <w:b w:val="false"/>
                <w:bCs w:val="false"/>
                <w:color w:val="1A1A1A"/>
                <w:sz w:val="20"/>
                <w:szCs w:val="20"/>
              </w:rPr>
              <w:t xml:space="preserve">Coconut-husk retting</w:t>
            </w:r>
          </w:p>
        </w:tc>
        <w:tc>
          <w:tcPr>
            <w:tcW w:type="dxa" w:w="2000"/>
            <w:tcMar>
              <w:top w:type="dxa" w:w="50"/>
              <w:left w:type="dxa" w:w="90"/>
              <w:bottom w:type="dxa" w:w="50"/>
              <w:right w:type="dxa" w:w="90"/>
            </w:tcMar>
          </w:tcPr>
          <w:p>
            <w:pPr>
              <w:spacing w:after="30" w:line="248"/>
              <w:jc w:val="left"/>
            </w:pPr>
            <w:r>
              <w:rPr>
                <w:rFonts w:ascii="Times New Roman" w:cs="Times New Roman" w:eastAsia="Times New Roman" w:hAnsi="Times New Roman"/>
                <w:b w:val="false"/>
                <w:bCs w:val="false"/>
                <w:color w:val="1A1A1A"/>
                <w:sz w:val="20"/>
                <w:szCs w:val="20"/>
              </w:rPr>
              <w:t xml:space="preserve">CTE + CTO; public-hearing-tier possible</w:t>
            </w:r>
          </w:p>
        </w:tc>
      </w:tr>
      <w:tr>
        <w:tc>
          <w:tcPr>
            <w:tcW w:type="dxa" w:w="2000"/>
            <w:tcMar>
              <w:top w:type="dxa" w:w="50"/>
              <w:left w:type="dxa" w:w="90"/>
              <w:bottom w:type="dxa" w:w="50"/>
              <w:right w:type="dxa" w:w="90"/>
            </w:tcMar>
          </w:tcPr>
          <w:p>
            <w:pPr>
              <w:spacing w:after="30" w:line="248"/>
              <w:jc w:val="center"/>
            </w:pPr>
            <w:r>
              <w:rPr>
                <w:rFonts w:ascii="Times New Roman" w:cs="Times New Roman" w:eastAsia="Times New Roman" w:hAnsi="Times New Roman"/>
                <w:b/>
                <w:bCs/>
                <w:color w:val="C87A00"/>
                <w:sz w:val="20"/>
                <w:szCs w:val="20"/>
              </w:rPr>
              <w:t xml:space="preserve">ORANGE</w:t>
            </w:r>
          </w:p>
        </w:tc>
        <w:tc>
          <w:tcPr>
            <w:tcW w:type="dxa" w:w="5638"/>
            <w:tcMar>
              <w:top w:type="dxa" w:w="50"/>
              <w:left w:type="dxa" w:w="90"/>
              <w:bottom w:type="dxa" w:w="50"/>
              <w:right w:type="dxa" w:w="90"/>
            </w:tcMar>
          </w:tcPr>
          <w:p>
            <w:pPr>
              <w:spacing w:after="30" w:line="248"/>
              <w:jc w:val="left"/>
            </w:pPr>
            <w:r>
              <w:rPr>
                <w:rFonts w:ascii="Times New Roman" w:cs="Times New Roman" w:eastAsia="Times New Roman" w:hAnsi="Times New Roman"/>
                <w:b w:val="false"/>
                <w:bCs w:val="false"/>
                <w:color w:val="1A1A1A"/>
                <w:sz w:val="20"/>
                <w:szCs w:val="20"/>
              </w:rPr>
              <w:t xml:space="preserve">Coir de-fibring / ginning; coir stencilling; coir bleaching / dyeing</w:t>
            </w:r>
          </w:p>
        </w:tc>
        <w:tc>
          <w:tcPr>
            <w:tcW w:type="dxa" w:w="2000"/>
            <w:tcMar>
              <w:top w:type="dxa" w:w="50"/>
              <w:left w:type="dxa" w:w="90"/>
              <w:bottom w:type="dxa" w:w="50"/>
              <w:right w:type="dxa" w:w="90"/>
            </w:tcMar>
          </w:tcPr>
          <w:p>
            <w:pPr>
              <w:spacing w:after="30" w:line="248"/>
              <w:jc w:val="left"/>
            </w:pPr>
            <w:r>
              <w:rPr>
                <w:rFonts w:ascii="Times New Roman" w:cs="Times New Roman" w:eastAsia="Times New Roman" w:hAnsi="Times New Roman"/>
                <w:b w:val="false"/>
                <w:bCs w:val="false"/>
                <w:color w:val="1A1A1A"/>
                <w:sz w:val="20"/>
                <w:szCs w:val="20"/>
              </w:rPr>
              <w:t xml:space="preserve">CTE + CTO; periodic monitoring</w:t>
            </w:r>
          </w:p>
        </w:tc>
      </w:tr>
      <w:tr>
        <w:tc>
          <w:tcPr>
            <w:tcW w:type="dxa" w:w="2000"/>
            <w:tcMar>
              <w:top w:type="dxa" w:w="50"/>
              <w:left w:type="dxa" w:w="90"/>
              <w:bottom w:type="dxa" w:w="50"/>
              <w:right w:type="dxa" w:w="90"/>
            </w:tcMar>
          </w:tcPr>
          <w:p>
            <w:pPr>
              <w:spacing w:after="30" w:line="248"/>
              <w:jc w:val="center"/>
            </w:pPr>
            <w:r>
              <w:rPr>
                <w:rFonts w:ascii="Times New Roman" w:cs="Times New Roman" w:eastAsia="Times New Roman" w:hAnsi="Times New Roman"/>
                <w:b/>
                <w:bCs/>
                <w:color w:val="1E7D1E"/>
                <w:sz w:val="20"/>
                <w:szCs w:val="20"/>
              </w:rPr>
              <w:t xml:space="preserve">GREEN</w:t>
            </w:r>
          </w:p>
        </w:tc>
        <w:tc>
          <w:tcPr>
            <w:tcW w:type="dxa" w:w="5638"/>
            <w:tcMar>
              <w:top w:type="dxa" w:w="50"/>
              <w:left w:type="dxa" w:w="90"/>
              <w:bottom w:type="dxa" w:w="50"/>
              <w:right w:type="dxa" w:w="90"/>
            </w:tcMar>
          </w:tcPr>
          <w:p>
            <w:pPr>
              <w:spacing w:after="30" w:line="248"/>
              <w:jc w:val="left"/>
            </w:pPr>
            <w:r>
              <w:rPr>
                <w:rFonts w:ascii="Times New Roman" w:cs="Times New Roman" w:eastAsia="Times New Roman" w:hAnsi="Times New Roman"/>
                <w:b w:val="false"/>
                <w:bCs w:val="false"/>
                <w:color w:val="1A1A1A"/>
                <w:sz w:val="20"/>
                <w:szCs w:val="20"/>
              </w:rPr>
              <w:t xml:space="preserve">Coir fibre / pith processing generating effluent</w:t>
            </w:r>
          </w:p>
        </w:tc>
        <w:tc>
          <w:tcPr>
            <w:tcW w:type="dxa" w:w="2000"/>
            <w:tcMar>
              <w:top w:type="dxa" w:w="50"/>
              <w:left w:type="dxa" w:w="90"/>
              <w:bottom w:type="dxa" w:w="50"/>
              <w:right w:type="dxa" w:w="90"/>
            </w:tcMar>
          </w:tcPr>
          <w:p>
            <w:pPr>
              <w:spacing w:after="30" w:line="248"/>
              <w:jc w:val="left"/>
            </w:pPr>
            <w:r>
              <w:rPr>
                <w:rFonts w:ascii="Times New Roman" w:cs="Times New Roman" w:eastAsia="Times New Roman" w:hAnsi="Times New Roman"/>
                <w:b w:val="false"/>
                <w:bCs w:val="false"/>
                <w:color w:val="1A1A1A"/>
                <w:sz w:val="20"/>
                <w:szCs w:val="20"/>
              </w:rPr>
              <w:t xml:space="preserve">Simplified consent</w:t>
            </w:r>
          </w:p>
        </w:tc>
      </w:tr>
      <w:tr>
        <w:tc>
          <w:tcPr>
            <w:tcW w:type="dxa" w:w="2000"/>
            <w:tcMar>
              <w:top w:type="dxa" w:w="50"/>
              <w:left w:type="dxa" w:w="90"/>
              <w:bottom w:type="dxa" w:w="50"/>
              <w:right w:type="dxa" w:w="90"/>
            </w:tcMar>
          </w:tcPr>
          <w:p>
            <w:pPr>
              <w:spacing w:after="30" w:line="248"/>
              <w:jc w:val="center"/>
            </w:pPr>
            <w:r>
              <w:rPr>
                <w:rFonts w:ascii="Times New Roman" w:cs="Times New Roman" w:eastAsia="Times New Roman" w:hAnsi="Times New Roman"/>
                <w:b/>
                <w:bCs/>
                <w:color w:val="444444"/>
                <w:sz w:val="20"/>
                <w:szCs w:val="20"/>
              </w:rPr>
              <w:t xml:space="preserve">WHITE</w:t>
            </w:r>
          </w:p>
        </w:tc>
        <w:tc>
          <w:tcPr>
            <w:tcW w:type="dxa" w:w="5638"/>
            <w:tcMar>
              <w:top w:type="dxa" w:w="50"/>
              <w:left w:type="dxa" w:w="90"/>
              <w:bottom w:type="dxa" w:w="50"/>
              <w:right w:type="dxa" w:w="90"/>
            </w:tcMar>
          </w:tcPr>
          <w:p>
            <w:pPr>
              <w:spacing w:after="30" w:line="248"/>
              <w:jc w:val="left"/>
            </w:pPr>
            <w:r>
              <w:rPr>
                <w:rFonts w:ascii="Times New Roman" w:cs="Times New Roman" w:eastAsia="Times New Roman" w:hAnsi="Times New Roman"/>
                <w:b w:val="false"/>
                <w:bCs w:val="false"/>
                <w:color w:val="1A1A1A"/>
                <w:sz w:val="20"/>
                <w:szCs w:val="20"/>
              </w:rPr>
              <w:t xml:space="preserve">Dry coir processing / coir products without effluent; coir yarn without dyeing; coir-pith final product; coir rope; curled coir</w:t>
            </w:r>
          </w:p>
        </w:tc>
        <w:tc>
          <w:tcPr>
            <w:tcW w:type="dxa" w:w="2000"/>
            <w:tcMar>
              <w:top w:type="dxa" w:w="50"/>
              <w:left w:type="dxa" w:w="90"/>
              <w:bottom w:type="dxa" w:w="50"/>
              <w:right w:type="dxa" w:w="90"/>
            </w:tcMar>
          </w:tcPr>
          <w:p>
            <w:pPr>
              <w:spacing w:after="30" w:line="248"/>
              <w:jc w:val="left"/>
            </w:pPr>
            <w:r>
              <w:rPr>
                <w:rFonts w:ascii="Times New Roman" w:cs="Times New Roman" w:eastAsia="Times New Roman" w:hAnsi="Times New Roman"/>
                <w:b w:val="false"/>
                <w:bCs w:val="false"/>
                <w:color w:val="1A1A1A"/>
                <w:sz w:val="20"/>
                <w:szCs w:val="20"/>
              </w:rPr>
              <w:t xml:space="preserve">Intimation only (no CTO)</w:t>
            </w:r>
          </w:p>
        </w:tc>
      </w:tr>
    </w:tbl>
    <w:p>
      <w:pPr>
        <w:pageBreakBefore/>
      </w:pPr>
      <w:r>
        <w:br/>
      </w:r>
    </w:p>
    <w:p>
      <w:pPr>
        <w:pStyle w:val="Heading1"/>
        <w:spacing w:after="120" w:before="160"/>
        <w:jc w:val="center"/>
      </w:pPr>
      <w:r>
        <w:rPr>
          <w:rFonts w:ascii="Times New Roman" w:cs="Times New Roman" w:eastAsia="Times New Roman" w:hAnsi="Times New Roman"/>
          <w:b/>
          <w:bCs/>
          <w:color w:val="0B3D0B"/>
          <w:sz w:val="24"/>
          <w:szCs w:val="24"/>
        </w:rPr>
        <w:t xml:space="preserve">ANNEXURE B</w:t>
      </w:r>
    </w:p>
    <w:p>
      <w:pPr>
        <w:spacing w:after="160"/>
        <w:jc w:val="center"/>
      </w:pPr>
      <w:r>
        <w:rPr>
          <w:rFonts w:ascii="Times New Roman" w:cs="Times New Roman" w:eastAsia="Times New Roman" w:hAnsi="Times New Roman"/>
          <w:b/>
          <w:bCs/>
          <w:color w:val="1A1A1A"/>
          <w:sz w:val="22"/>
          <w:szCs w:val="22"/>
        </w:rPr>
        <w:t xml:space="preserve">TNPCB — coir industry retained in the White category</w:t>
      </w:r>
    </w:p>
    <w:p>
      <w:pPr>
        <w:spacing w:after="120" w:line="276"/>
      </w:pPr>
      <w:r>
        <w:rPr>
          <w:rFonts w:ascii="Times New Roman" w:cs="Times New Roman" w:eastAsia="Times New Roman" w:hAnsi="Times New Roman"/>
          <w:i/>
          <w:iCs/>
          <w:color w:val="555555"/>
          <w:sz w:val="20"/>
          <w:szCs w:val="20"/>
        </w:rPr>
        <w:t xml:space="preserve">Summary of the Tamil Nadu Pollution Control Board's position, with the operative dates and the text of its withdrawal order. Copies of the TNPCB proceedings / press release are to be annexed in original.</w:t>
      </w:r>
    </w:p>
    <w:p>
      <w:pPr>
        <w:pStyle w:val="ListParagraph"/>
        <w:numPr>
          <w:ilvl w:val="0"/>
          <w:numId w:val="2"/>
        </w:numPr>
        <w:spacing w:after="80" w:line="268"/>
      </w:pPr>
      <w:r>
        <w:rPr>
          <w:rFonts w:ascii="Times New Roman" w:cs="Times New Roman" w:eastAsia="Times New Roman" w:hAnsi="Times New Roman"/>
          <w:b/>
          <w:bCs/>
          <w:color w:val="1A1A1A"/>
          <w:sz w:val="22"/>
          <w:szCs w:val="22"/>
        </w:rPr>
        <w:t xml:space="preserve">Baseline position: </w:t>
      </w:r>
      <w:r>
        <w:rPr>
          <w:rFonts w:ascii="Times New Roman" w:cs="Times New Roman" w:eastAsia="Times New Roman" w:hAnsi="Times New Roman"/>
          <w:color w:val="1A1A1A"/>
          <w:sz w:val="22"/>
          <w:szCs w:val="22"/>
        </w:rPr>
        <w:t xml:space="preserve">Under the CPCB Pollution-Index norm (Red high, Orange / Green moderate, White non-polluting), the coconut-husk retting / de-fibering / pith-processing industry stands in the </w:t>
      </w:r>
      <w:r>
        <w:rPr>
          <w:rFonts w:ascii="Times New Roman" w:cs="Times New Roman" w:eastAsia="Times New Roman" w:hAnsi="Times New Roman"/>
          <w:b/>
          <w:bCs/>
          <w:color w:val="1A1A1A"/>
          <w:sz w:val="22"/>
          <w:szCs w:val="22"/>
        </w:rPr>
        <w:t xml:space="preserve">White</w:t>
      </w:r>
      <w:r>
        <w:rPr>
          <w:rFonts w:ascii="Times New Roman" w:cs="Times New Roman" w:eastAsia="Times New Roman" w:hAnsi="Times New Roman"/>
          <w:color w:val="1A1A1A"/>
          <w:sz w:val="22"/>
          <w:szCs w:val="22"/>
        </w:rPr>
        <w:t xml:space="preserve"> category in Tamil Nadu.</w:t>
      </w:r>
    </w:p>
    <w:p>
      <w:pPr>
        <w:pStyle w:val="ListParagraph"/>
        <w:numPr>
          <w:ilvl w:val="0"/>
          <w:numId w:val="2"/>
        </w:numPr>
        <w:spacing w:after="80" w:line="268"/>
      </w:pPr>
      <w:r>
        <w:rPr>
          <w:rFonts w:ascii="Times New Roman" w:cs="Times New Roman" w:eastAsia="Times New Roman" w:hAnsi="Times New Roman"/>
          <w:b/>
          <w:bCs/>
          <w:color w:val="1A1A1A"/>
          <w:sz w:val="22"/>
          <w:szCs w:val="22"/>
        </w:rPr>
        <w:t xml:space="preserve">Proceedings dated 10-11-2021: </w:t>
      </w:r>
      <w:r>
        <w:rPr>
          <w:rFonts w:ascii="Times New Roman" w:cs="Times New Roman" w:eastAsia="Times New Roman" w:hAnsi="Times New Roman"/>
          <w:color w:val="1A1A1A"/>
          <w:sz w:val="22"/>
          <w:szCs w:val="22"/>
        </w:rPr>
        <w:t xml:space="preserve">TNPCB reclassified the coir industry from White to Orange — moving it into the polluting category, requiring TNPCB approval to set up units and subjecting them to periodic monitoring — stated to be pursuant to directions of the environmental tribunal / courts.</w:t>
      </w:r>
    </w:p>
    <w:p>
      <w:pPr>
        <w:pStyle w:val="ListParagraph"/>
        <w:numPr>
          <w:ilvl w:val="0"/>
          <w:numId w:val="2"/>
        </w:numPr>
        <w:spacing w:after="80" w:line="268"/>
      </w:pPr>
      <w:r>
        <w:rPr>
          <w:rFonts w:ascii="Times New Roman" w:cs="Times New Roman" w:eastAsia="Times New Roman" w:hAnsi="Times New Roman"/>
          <w:b/>
          <w:bCs/>
          <w:color w:val="1A1A1A"/>
          <w:sz w:val="22"/>
          <w:szCs w:val="22"/>
        </w:rPr>
        <w:t xml:space="preserve">Withdrawal dated 12-10-2023: </w:t>
      </w:r>
      <w:r>
        <w:rPr>
          <w:rFonts w:ascii="Times New Roman" w:cs="Times New Roman" w:eastAsia="Times New Roman" w:hAnsi="Times New Roman"/>
          <w:color w:val="1A1A1A"/>
          <w:sz w:val="22"/>
          <w:szCs w:val="22"/>
        </w:rPr>
        <w:t xml:space="preserve">Following an enormous number of representations from various associations of coir exporters and manufacturers seeking protection of the coir sector and their livelihood, TNPCB withdrew the Orange reclassification. The operative reasoning recorded was:</w:t>
      </w:r>
    </w:p>
    <w:p>
      <w:pPr>
        <w:pBdr>
          <w:left w:val="single" w:color="808080" w:sz="12" w:space="8"/>
        </w:pBdr>
        <w:spacing w:after="120" w:before="40" w:line="276"/>
        <w:ind w:left="480" w:right="360"/>
      </w:pPr>
      <w:r>
        <w:rPr>
          <w:rFonts w:ascii="Times New Roman" w:cs="Times New Roman" w:eastAsia="Times New Roman" w:hAnsi="Times New Roman"/>
          <w:i/>
          <w:iCs/>
          <w:color w:val="333333"/>
          <w:sz w:val="21"/>
          <w:szCs w:val="21"/>
        </w:rPr>
        <w:t xml:space="preserve">“Considering the coir industry is one of the vital agro-based cottage-type industries in the State contributing significantly to the creation of livelihood in major coconut-growing districts and to encourage the cottage-type MSME sector for the production of eco-friendly products, TNPCB withdraws the proceeding regarding the categorisation of coconut husk retting / de-fibres / pith processing under the Orange category.”</w:t>
      </w:r>
    </w:p>
    <w:p>
      <w:pPr>
        <w:pStyle w:val="ListParagraph"/>
        <w:numPr>
          <w:ilvl w:val="0"/>
          <w:numId w:val="2"/>
        </w:numPr>
        <w:spacing w:after="80" w:line="268"/>
      </w:pPr>
      <w:r>
        <w:rPr>
          <w:rFonts w:ascii="Times New Roman" w:cs="Times New Roman" w:eastAsia="Times New Roman" w:hAnsi="Times New Roman"/>
          <w:b/>
          <w:bCs/>
          <w:color w:val="1A1A1A"/>
          <w:sz w:val="22"/>
          <w:szCs w:val="22"/>
        </w:rPr>
        <w:t xml:space="preserve">Effect: </w:t>
      </w:r>
      <w:r>
        <w:rPr>
          <w:rFonts w:ascii="Times New Roman" w:cs="Times New Roman" w:eastAsia="Times New Roman" w:hAnsi="Times New Roman"/>
          <w:color w:val="1A1A1A"/>
          <w:sz w:val="22"/>
          <w:szCs w:val="22"/>
        </w:rPr>
        <w:t xml:space="preserve">The coconut-husk retting / de-fibring / pith-processing industry </w:t>
      </w:r>
      <w:r>
        <w:rPr>
          <w:rFonts w:ascii="Times New Roman" w:cs="Times New Roman" w:eastAsia="Times New Roman" w:hAnsi="Times New Roman"/>
          <w:b/>
          <w:bCs/>
          <w:color w:val="1A1A1A"/>
          <w:sz w:val="22"/>
          <w:szCs w:val="22"/>
        </w:rPr>
        <w:t xml:space="preserve">remains in the White category in Tamil Nadu</w:t>
      </w:r>
      <w:r>
        <w:rPr>
          <w:rFonts w:ascii="Times New Roman" w:cs="Times New Roman" w:eastAsia="Times New Roman" w:hAnsi="Times New Roman"/>
          <w:color w:val="1A1A1A"/>
          <w:sz w:val="22"/>
          <w:szCs w:val="22"/>
        </w:rPr>
        <w:t xml:space="preserve">, relieving these cottage / MSME units of Consent-to-Operate and monitoring burdens.</w:t>
      </w:r>
    </w:p>
    <w:p>
      <w:pPr>
        <w:spacing w:after="120" w:line="276"/>
      </w:pPr>
      <w:r>
        <w:rPr>
          <w:rFonts w:ascii="Times New Roman" w:cs="Times New Roman" w:eastAsia="Times New Roman" w:hAnsi="Times New Roman"/>
          <w:b/>
          <w:bCs/>
          <w:color w:val="1A1A1A"/>
          <w:sz w:val="22"/>
          <w:szCs w:val="22"/>
        </w:rPr>
        <w:t xml:space="preserve">Relevance to this petition: </w:t>
      </w:r>
      <w:r>
        <w:rPr>
          <w:rFonts w:ascii="Times New Roman" w:cs="Times New Roman" w:eastAsia="Times New Roman" w:hAnsi="Times New Roman"/>
          <w:color w:val="1A1A1A"/>
          <w:sz w:val="22"/>
          <w:szCs w:val="22"/>
        </w:rPr>
        <w:t xml:space="preserve">Kerala keeps husk retting in Red and de-fibring / ginning in Orange for the </w:t>
      </w:r>
      <w:r>
        <w:rPr>
          <w:rFonts w:ascii="Times New Roman" w:cs="Times New Roman" w:eastAsia="Times New Roman" w:hAnsi="Times New Roman"/>
          <w:b/>
          <w:bCs/>
          <w:color w:val="1A1A1A"/>
          <w:sz w:val="22"/>
          <w:szCs w:val="22"/>
        </w:rPr>
        <w:t xml:space="preserve">same raw material and the same process chain</w:t>
      </w:r>
      <w:r>
        <w:rPr>
          <w:rFonts w:ascii="Times New Roman" w:cs="Times New Roman" w:eastAsia="Times New Roman" w:hAnsi="Times New Roman"/>
          <w:color w:val="1A1A1A"/>
          <w:sz w:val="22"/>
          <w:szCs w:val="22"/>
        </w:rPr>
        <w:t xml:space="preserve"> that both Tamil Nadu and the Central norm treat as White, on the other side of the same district border. That contrast is the core justification for the re-alignment prayed for in paragraph 5.</w:t>
      </w:r>
    </w:p>
    <w:p>
      <w:pPr>
        <w:pageBreakBefore/>
      </w:pPr>
      <w:r>
        <w:br/>
      </w:r>
    </w:p>
    <w:p>
      <w:pPr>
        <w:pStyle w:val="Heading1"/>
        <w:spacing w:after="120" w:before="160"/>
        <w:jc w:val="center"/>
      </w:pPr>
      <w:r>
        <w:rPr>
          <w:rFonts w:ascii="Times New Roman" w:cs="Times New Roman" w:eastAsia="Times New Roman" w:hAnsi="Times New Roman"/>
          <w:b/>
          <w:bCs/>
          <w:color w:val="0B3D0B"/>
          <w:sz w:val="24"/>
          <w:szCs w:val="24"/>
        </w:rPr>
        <w:t xml:space="preserve">ANNEXURE C</w:t>
      </w:r>
    </w:p>
    <w:p>
      <w:pPr>
        <w:spacing w:after="120"/>
        <w:jc w:val="center"/>
      </w:pPr>
      <w:r>
        <w:rPr>
          <w:rFonts w:ascii="Times New Roman" w:cs="Times New Roman" w:eastAsia="Times New Roman" w:hAnsi="Times New Roman"/>
          <w:b/>
          <w:bCs/>
          <w:color w:val="1A1A1A"/>
          <w:sz w:val="22"/>
          <w:szCs w:val="22"/>
        </w:rPr>
        <w:t xml:space="preserve">Model draft Government Order (for the Government's consideration)</w:t>
      </w:r>
    </w:p>
    <w:p>
      <w:pPr>
        <w:spacing w:after="120" w:line="276"/>
      </w:pPr>
      <w:r>
        <w:rPr>
          <w:rFonts w:ascii="Times New Roman" w:cs="Times New Roman" w:eastAsia="Times New Roman" w:hAnsi="Times New Roman"/>
          <w:i/>
          <w:iCs/>
          <w:color w:val="555555"/>
          <w:sz w:val="20"/>
          <w:szCs w:val="20"/>
        </w:rPr>
        <w:t xml:space="preserve">The following is a model draft placed for the Government's consideration. The actual G.O. number, date and file references are to be assigned by the Department.</w:t>
      </w:r>
    </w:p>
    <w:tbl>
      <w:tblPr>
        <w:tblW w:type="dxa" w:w="9638"/>
        <w:tblBorders>
          <w:top w:val="single" w:color="808080" w:sz="4"/>
          <w:left w:val="single" w:color="808080" w:sz="4"/>
          <w:bottom w:val="single" w:color="808080" w:sz="4"/>
          <w:right w:val="single" w:color="808080" w:sz="4"/>
          <w:insideH w:val="none" w:color="auto" w:sz="0"/>
          <w:insideV w:val="none" w:color="auto" w:sz="0"/>
        </w:tblBorders>
      </w:tblPr>
      <w:tblGrid>
        <w:gridCol w:w="9638"/>
      </w:tblGrid>
      <w:tr>
        <w:tc>
          <w:tcPr>
            <w:tcW w:type="dxa" w:w="9638"/>
            <w:shd w:fill="F5F5F0" w:color="auto" w:val="clear"/>
            <w:tcMar>
              <w:top w:type="dxa" w:w="120"/>
              <w:left w:type="dxa" w:w="160"/>
              <w:bottom w:type="dxa" w:w="120"/>
              <w:right w:type="dxa" w:w="160"/>
            </w:tcMar>
          </w:tcPr>
          <w:p>
            <w:pPr>
              <w:spacing w:after="40" w:before="40" w:line="240"/>
            </w:pPr>
            <w:r>
              <w:rPr>
                <w:rFonts w:ascii="Consolas" w:cs="Consolas" w:eastAsia="Consolas" w:hAnsi="Consolas"/>
                <w:color w:val="1A1A1A"/>
                <w:sz w:val="17"/>
                <w:szCs w:val="17"/>
              </w:rPr>
              <w:t xml:space="preserve">GOVERNMENT OF KERALA</w:t>
            </w:r>
            <w:r>
              <w:rPr>
                <w:rFonts w:ascii="Consolas" w:cs="Consolas" w:eastAsia="Consolas" w:hAnsi="Consolas"/>
                <w:color w:val="1A1A1A"/>
                <w:sz w:val="17"/>
                <w:szCs w:val="17"/>
              </w:rPr>
              <w:br/>
              <w:t xml:space="preserve">Abstract</w:t>
            </w:r>
            <w:r>
              <w:rPr>
                <w:rFonts w:ascii="Consolas" w:cs="Consolas" w:eastAsia="Consolas" w:hAnsi="Consolas"/>
                <w:color w:val="1A1A1A"/>
                <w:sz w:val="17"/>
                <w:szCs w:val="17"/>
              </w:rPr>
              <w:br/>
              <w:t xml:space="preserve"> </w:t>
            </w:r>
            <w:r>
              <w:rPr>
                <w:rFonts w:ascii="Consolas" w:cs="Consolas" w:eastAsia="Consolas" w:hAnsi="Consolas"/>
                <w:color w:val="1A1A1A"/>
                <w:sz w:val="17"/>
                <w:szCs w:val="17"/>
              </w:rPr>
              <w:br/>
              <w:t xml:space="preserve">Environment Department — Coir sector in Chittur (Palakkad) — Re-alignment of the</w:t>
            </w:r>
            <w:r>
              <w:rPr>
                <w:rFonts w:ascii="Consolas" w:cs="Consolas" w:eastAsia="Consolas" w:hAnsi="Consolas"/>
                <w:color w:val="1A1A1A"/>
                <w:sz w:val="17"/>
                <w:szCs w:val="17"/>
              </w:rPr>
              <w:br/>
              <w:t xml:space="preserve">pollution-category of coconut-husk retting (Red → Green with ZLD) and coir</w:t>
            </w:r>
            <w:r>
              <w:rPr>
                <w:rFonts w:ascii="Consolas" w:cs="Consolas" w:eastAsia="Consolas" w:hAnsi="Consolas"/>
                <w:color w:val="1A1A1A"/>
                <w:sz w:val="17"/>
                <w:szCs w:val="17"/>
              </w:rPr>
              <w:br/>
              <w:t xml:space="preserve">de-fibring / ginning (Orange → White) with the CPCB Pollution-Index Directions</w:t>
            </w:r>
            <w:r>
              <w:rPr>
                <w:rFonts w:ascii="Consolas" w:cs="Consolas" w:eastAsia="Consolas" w:hAnsi="Consolas"/>
                <w:color w:val="1A1A1A"/>
                <w:sz w:val="17"/>
                <w:szCs w:val="17"/>
              </w:rPr>
              <w:br/>
              <w:t xml:space="preserve">and with the Tamil Nadu White-category treatment, and grant of a coir Common</w:t>
            </w:r>
            <w:r>
              <w:rPr>
                <w:rFonts w:ascii="Consolas" w:cs="Consolas" w:eastAsia="Consolas" w:hAnsi="Consolas"/>
                <w:color w:val="1A1A1A"/>
                <w:sz w:val="17"/>
                <w:szCs w:val="17"/>
              </w:rPr>
              <w:br/>
              <w:t xml:space="preserve">Facility Centre with cluster status — Orders issued.</w:t>
            </w:r>
            <w:r>
              <w:rPr>
                <w:rFonts w:ascii="Consolas" w:cs="Consolas" w:eastAsia="Consolas" w:hAnsi="Consolas"/>
                <w:color w:val="1A1A1A"/>
                <w:sz w:val="17"/>
                <w:szCs w:val="17"/>
              </w:rPr>
              <w:br/>
              <w:t xml:space="preserve"> </w:t>
            </w:r>
            <w:r>
              <w:rPr>
                <w:rFonts w:ascii="Consolas" w:cs="Consolas" w:eastAsia="Consolas" w:hAnsi="Consolas"/>
                <w:color w:val="1A1A1A"/>
                <w:sz w:val="17"/>
                <w:szCs w:val="17"/>
              </w:rPr>
              <w:br/>
              <w:t xml:space="preserve">ENVIRONMENT (POLLUTION CONTROL) DEPARTMENT</w:t>
            </w:r>
            <w:r>
              <w:rPr>
                <w:rFonts w:ascii="Consolas" w:cs="Consolas" w:eastAsia="Consolas" w:hAnsi="Consolas"/>
                <w:color w:val="1A1A1A"/>
                <w:sz w:val="17"/>
                <w:szCs w:val="17"/>
              </w:rPr>
              <w:br/>
              <w:t xml:space="preserve">G.O.(Ms) No. ______/2026/Envt.        Thiruvananthapuram, dated __-__-2026</w:t>
            </w:r>
            <w:r>
              <w:rPr>
                <w:rFonts w:ascii="Consolas" w:cs="Consolas" w:eastAsia="Consolas" w:hAnsi="Consolas"/>
                <w:color w:val="1A1A1A"/>
                <w:sz w:val="17"/>
                <w:szCs w:val="17"/>
              </w:rPr>
              <w:br/>
              <w:t xml:space="preserve"> </w:t>
            </w:r>
            <w:r>
              <w:rPr>
                <w:rFonts w:ascii="Consolas" w:cs="Consolas" w:eastAsia="Consolas" w:hAnsi="Consolas"/>
                <w:color w:val="1A1A1A"/>
                <w:sz w:val="17"/>
                <w:szCs w:val="17"/>
              </w:rPr>
              <w:br/>
              <w:t xml:space="preserve">Read: 1. CPCB Directions dated 07-03-2016 (No. B-29012/ESS(CPA)/2015-16) u/s</w:t>
            </w:r>
            <w:r>
              <w:rPr>
                <w:rFonts w:ascii="Consolas" w:cs="Consolas" w:eastAsia="Consolas" w:hAnsi="Consolas"/>
                <w:color w:val="1A1A1A"/>
                <w:sz w:val="17"/>
                <w:szCs w:val="17"/>
              </w:rPr>
              <w:br/>
              <w:t xml:space="preserve">         18(1)(b) of the Water (Prevention and Control of Pollution) Act, 1974,</w:t>
            </w:r>
            <w:r>
              <w:rPr>
                <w:rFonts w:ascii="Consolas" w:cs="Consolas" w:eastAsia="Consolas" w:hAnsi="Consolas"/>
                <w:color w:val="1A1A1A"/>
                <w:sz w:val="17"/>
                <w:szCs w:val="17"/>
              </w:rPr>
              <w:br/>
              <w:t xml:space="preserve">         and the subsequent CPCB Directions of 2025.</w:t>
            </w:r>
            <w:r>
              <w:rPr>
                <w:rFonts w:ascii="Consolas" w:cs="Consolas" w:eastAsia="Consolas" w:hAnsi="Consolas"/>
                <w:color w:val="1A1A1A"/>
                <w:sz w:val="17"/>
                <w:szCs w:val="17"/>
              </w:rPr>
              <w:br/>
              <w:t xml:space="preserve">      2. TNPCB proceedings dated 10-11-2021 and their withdrawal dated 12-10-2023.</w:t>
            </w:r>
            <w:r>
              <w:rPr>
                <w:rFonts w:ascii="Consolas" w:cs="Consolas" w:eastAsia="Consolas" w:hAnsi="Consolas"/>
                <w:color w:val="1A1A1A"/>
                <w:sz w:val="17"/>
                <w:szCs w:val="17"/>
              </w:rPr>
              <w:br/>
              <w:t xml:space="preserve">      3. Representation dated __-07-2026 of the coconut farmers of the Chittur</w:t>
            </w:r>
            <w:r>
              <w:rPr>
                <w:rFonts w:ascii="Consolas" w:cs="Consolas" w:eastAsia="Consolas" w:hAnsi="Consolas"/>
                <w:color w:val="1A1A1A"/>
                <w:sz w:val="17"/>
                <w:szCs w:val="17"/>
              </w:rPr>
              <w:br/>
              <w:t xml:space="preserve">         Assembly Constituency, represented by Arun.</w:t>
            </w:r>
            <w:r>
              <w:rPr>
                <w:rFonts w:ascii="Consolas" w:cs="Consolas" w:eastAsia="Consolas" w:hAnsi="Consolas"/>
                <w:color w:val="1A1A1A"/>
                <w:sz w:val="17"/>
                <w:szCs w:val="17"/>
              </w:rPr>
              <w:br/>
              <w:t xml:space="preserve"> </w:t>
            </w:r>
            <w:r>
              <w:rPr>
                <w:rFonts w:ascii="Consolas" w:cs="Consolas" w:eastAsia="Consolas" w:hAnsi="Consolas"/>
                <w:color w:val="1A1A1A"/>
                <w:sz w:val="17"/>
                <w:szCs w:val="17"/>
              </w:rPr>
              <w:br/>
              <w:t xml:space="preserve">ORDER</w:t>
            </w:r>
            <w:r>
              <w:rPr>
                <w:rFonts w:ascii="Consolas" w:cs="Consolas" w:eastAsia="Consolas" w:hAnsi="Consolas"/>
                <w:color w:val="1A1A1A"/>
                <w:sz w:val="17"/>
                <w:szCs w:val="17"/>
              </w:rPr>
              <w:br/>
              <w:t xml:space="preserve"> </w:t>
            </w:r>
            <w:r>
              <w:rPr>
                <w:rFonts w:ascii="Consolas" w:cs="Consolas" w:eastAsia="Consolas" w:hAnsi="Consolas"/>
                <w:color w:val="1A1A1A"/>
                <w:sz w:val="17"/>
                <w:szCs w:val="17"/>
              </w:rPr>
              <w:br/>
              <w:t xml:space="preserve">  Whereas coconut-husk retting and coir de-fibring / ginning are treated more</w:t>
            </w:r>
            <w:r>
              <w:rPr>
                <w:rFonts w:ascii="Consolas" w:cs="Consolas" w:eastAsia="Consolas" w:hAnsi="Consolas"/>
                <w:color w:val="1A1A1A"/>
                <w:sz w:val="17"/>
                <w:szCs w:val="17"/>
              </w:rPr>
              <w:br/>
              <w:t xml:space="preserve">stringently in Kerala (Red and Orange respectively) than the CPCB Pollution-Index</w:t>
            </w:r>
            <w:r>
              <w:rPr>
                <w:rFonts w:ascii="Consolas" w:cs="Consolas" w:eastAsia="Consolas" w:hAnsi="Consolas"/>
                <w:color w:val="1A1A1A"/>
                <w:sz w:val="17"/>
                <w:szCs w:val="17"/>
              </w:rPr>
              <w:br/>
              <w:t xml:space="preserve">norm requires, and than Tamil Nadu treats the identical process chain (White),</w:t>
            </w:r>
            <w:r>
              <w:rPr>
                <w:rFonts w:ascii="Consolas" w:cs="Consolas" w:eastAsia="Consolas" w:hAnsi="Consolas"/>
                <w:color w:val="1A1A1A"/>
                <w:sz w:val="17"/>
                <w:szCs w:val="17"/>
              </w:rPr>
              <w:br/>
              <w:t xml:space="preserve">causing these units and their employment to migrate to Pollachi (Tamil Nadu);</w:t>
            </w:r>
            <w:r>
              <w:rPr>
                <w:rFonts w:ascii="Consolas" w:cs="Consolas" w:eastAsia="Consolas" w:hAnsi="Consolas"/>
                <w:color w:val="1A1A1A"/>
                <w:sz w:val="17"/>
                <w:szCs w:val="17"/>
              </w:rPr>
              <w:br/>
              <w:t xml:space="preserve"> </w:t>
            </w:r>
            <w:r>
              <w:rPr>
                <w:rFonts w:ascii="Consolas" w:cs="Consolas" w:eastAsia="Consolas" w:hAnsi="Consolas"/>
                <w:color w:val="1A1A1A"/>
                <w:sz w:val="17"/>
                <w:szCs w:val="17"/>
              </w:rPr>
              <w:br/>
              <w:t xml:space="preserve">  Government, having considered the matter, hereby order that —</w:t>
            </w:r>
            <w:r>
              <w:rPr>
                <w:rFonts w:ascii="Consolas" w:cs="Consolas" w:eastAsia="Consolas" w:hAnsi="Consolas"/>
                <w:color w:val="1A1A1A"/>
                <w:sz w:val="17"/>
                <w:szCs w:val="17"/>
              </w:rPr>
              <w:br/>
              <w:t xml:space="preserve"> </w:t>
            </w:r>
            <w:r>
              <w:rPr>
                <w:rFonts w:ascii="Consolas" w:cs="Consolas" w:eastAsia="Consolas" w:hAnsi="Consolas"/>
                <w:color w:val="1A1A1A"/>
                <w:sz w:val="17"/>
                <w:szCs w:val="17"/>
              </w:rPr>
              <w:br/>
              <w:t xml:space="preserve">  (1) the Kerala State Pollution Control Board shall re-align coir de-fibring /</w:t>
            </w:r>
            <w:r>
              <w:rPr>
                <w:rFonts w:ascii="Consolas" w:cs="Consolas" w:eastAsia="Consolas" w:hAnsi="Consolas"/>
                <w:color w:val="1A1A1A"/>
                <w:sz w:val="17"/>
                <w:szCs w:val="17"/>
              </w:rPr>
              <w:br/>
              <w:t xml:space="preserve">      ginning to the White category and coconut-husk retting to the Green category</w:t>
            </w:r>
            <w:r>
              <w:rPr>
                <w:rFonts w:ascii="Consolas" w:cs="Consolas" w:eastAsia="Consolas" w:hAnsi="Consolas"/>
                <w:color w:val="1A1A1A"/>
                <w:sz w:val="17"/>
                <w:szCs w:val="17"/>
              </w:rPr>
              <w:br/>
              <w:t xml:space="preserve">      with mandatory Zero-Liquid-Discharge safeguards, consistent with the CPCB</w:t>
            </w:r>
            <w:r>
              <w:rPr>
                <w:rFonts w:ascii="Consolas" w:cs="Consolas" w:eastAsia="Consolas" w:hAnsi="Consolas"/>
                <w:color w:val="1A1A1A"/>
                <w:sz w:val="17"/>
                <w:szCs w:val="17"/>
              </w:rPr>
              <w:br/>
              <w:t xml:space="preserve">      Directions read above, retaining Orange regulation only for bleaching /</w:t>
            </w:r>
            <w:r>
              <w:rPr>
                <w:rFonts w:ascii="Consolas" w:cs="Consolas" w:eastAsia="Consolas" w:hAnsi="Consolas"/>
                <w:color w:val="1A1A1A"/>
                <w:sz w:val="17"/>
                <w:szCs w:val="17"/>
              </w:rPr>
              <w:br/>
              <w:t xml:space="preserve">      dyeing / stencilling;</w:t>
            </w:r>
            <w:r>
              <w:rPr>
                <w:rFonts w:ascii="Consolas" w:cs="Consolas" w:eastAsia="Consolas" w:hAnsi="Consolas"/>
                <w:color w:val="1A1A1A"/>
                <w:sz w:val="17"/>
                <w:szCs w:val="17"/>
              </w:rPr>
              <w:br/>
              <w:t xml:space="preserve">  (2) a coir Common Facility Centre with cluster status is sanctioned for Chittur</w:t>
            </w:r>
            <w:r>
              <w:rPr>
                <w:rFonts w:ascii="Consolas" w:cs="Consolas" w:eastAsia="Consolas" w:hAnsi="Consolas"/>
                <w:color w:val="1A1A1A"/>
                <w:sz w:val="17"/>
                <w:szCs w:val="17"/>
              </w:rPr>
              <w:br/>
              <w:t xml:space="preserve">      (mechanised de-fibring, pith washing / block-making with ZLD and salinity</w:t>
            </w:r>
            <w:r>
              <w:rPr>
                <w:rFonts w:ascii="Consolas" w:cs="Consolas" w:eastAsia="Consolas" w:hAnsi="Consolas"/>
                <w:color w:val="1A1A1A"/>
                <w:sz w:val="17"/>
                <w:szCs w:val="17"/>
              </w:rPr>
              <w:br/>
              <w:t xml:space="preserve">      management);</w:t>
            </w:r>
            <w:r>
              <w:rPr>
                <w:rFonts w:ascii="Consolas" w:cs="Consolas" w:eastAsia="Consolas" w:hAnsi="Consolas"/>
                <w:color w:val="1A1A1A"/>
                <w:sz w:val="17"/>
                <w:szCs w:val="17"/>
              </w:rPr>
              <w:br/>
              <w:t xml:space="preserve">  (3) power-tariff parity with Tamil Nadu and MSME incentives shall be extended to</w:t>
            </w:r>
            <w:r>
              <w:rPr>
                <w:rFonts w:ascii="Consolas" w:cs="Consolas" w:eastAsia="Consolas" w:hAnsi="Consolas"/>
                <w:color w:val="1A1A1A"/>
                <w:sz w:val="17"/>
                <w:szCs w:val="17"/>
              </w:rPr>
              <w:br/>
              <w:t xml:space="preserve">      coir units in Chittur; and</w:t>
            </w:r>
            <w:r>
              <w:rPr>
                <w:rFonts w:ascii="Consolas" w:cs="Consolas" w:eastAsia="Consolas" w:hAnsi="Consolas"/>
                <w:color w:val="1A1A1A"/>
                <w:sz w:val="17"/>
                <w:szCs w:val="17"/>
              </w:rPr>
              <w:br/>
              <w:t xml:space="preserve">  (4) the Environment, Industries and Coir Directorates shall ensure a level</w:t>
            </w:r>
            <w:r>
              <w:rPr>
                <w:rFonts w:ascii="Consolas" w:cs="Consolas" w:eastAsia="Consolas" w:hAnsi="Consolas"/>
                <w:color w:val="1A1A1A"/>
                <w:sz w:val="17"/>
                <w:szCs w:val="17"/>
              </w:rPr>
              <w:br/>
              <w:t xml:space="preserve">      playing field so that value addition to Kerala's coconut husk is retained</w:t>
            </w:r>
            <w:r>
              <w:rPr>
                <w:rFonts w:ascii="Consolas" w:cs="Consolas" w:eastAsia="Consolas" w:hAnsi="Consolas"/>
                <w:color w:val="1A1A1A"/>
                <w:sz w:val="17"/>
                <w:szCs w:val="17"/>
              </w:rPr>
              <w:br/>
              <w:t xml:space="preserve">      within the State.</w:t>
            </w:r>
            <w:r>
              <w:rPr>
                <w:rFonts w:ascii="Consolas" w:cs="Consolas" w:eastAsia="Consolas" w:hAnsi="Consolas"/>
                <w:color w:val="1A1A1A"/>
                <w:sz w:val="17"/>
                <w:szCs w:val="17"/>
              </w:rPr>
              <w:br/>
              <w:t xml:space="preserve"> </w:t>
            </w:r>
            <w:r>
              <w:rPr>
                <w:rFonts w:ascii="Consolas" w:cs="Consolas" w:eastAsia="Consolas" w:hAnsi="Consolas"/>
                <w:color w:val="1A1A1A"/>
                <w:sz w:val="17"/>
                <w:szCs w:val="17"/>
              </w:rPr>
              <w:br/>
              <w:t xml:space="preserve">                                        By order of the Governor,</w:t>
            </w:r>
            <w:r>
              <w:rPr>
                <w:rFonts w:ascii="Consolas" w:cs="Consolas" w:eastAsia="Consolas" w:hAnsi="Consolas"/>
                <w:color w:val="1A1A1A"/>
                <w:sz w:val="17"/>
                <w:szCs w:val="17"/>
              </w:rPr>
              <w:br/>
              <w:t xml:space="preserve">                                        __________________________</w:t>
            </w:r>
            <w:r>
              <w:rPr>
                <w:rFonts w:ascii="Consolas" w:cs="Consolas" w:eastAsia="Consolas" w:hAnsi="Consolas"/>
                <w:color w:val="1A1A1A"/>
                <w:sz w:val="17"/>
                <w:szCs w:val="17"/>
              </w:rPr>
              <w:br/>
              <w:t xml:space="preserve">                                        Secretary to Government</w:t>
            </w:r>
            <w:r>
              <w:rPr>
                <w:rFonts w:ascii="Consolas" w:cs="Consolas" w:eastAsia="Consolas" w:hAnsi="Consolas"/>
                <w:color w:val="1A1A1A"/>
                <w:sz w:val="17"/>
                <w:szCs w:val="17"/>
              </w:rPr>
              <w:br/>
              <w:t xml:space="preserve"> </w:t>
            </w:r>
            <w:r>
              <w:rPr>
                <w:rFonts w:ascii="Consolas" w:cs="Consolas" w:eastAsia="Consolas" w:hAnsi="Consolas"/>
                <w:color w:val="1A1A1A"/>
                <w:sz w:val="17"/>
                <w:szCs w:val="17"/>
              </w:rPr>
              <w:br/>
              <w:t xml:space="preserve">To  The Chairman, Kerala State Pollution Control Board; the Director of Industries</w:t>
            </w:r>
            <w:r>
              <w:rPr>
                <w:rFonts w:ascii="Consolas" w:cs="Consolas" w:eastAsia="Consolas" w:hAnsi="Consolas"/>
                <w:color w:val="1A1A1A"/>
                <w:sz w:val="17"/>
                <w:szCs w:val="17"/>
              </w:rPr>
              <w:br/>
              <w:t xml:space="preserve">    &amp; Commerce; the Director of Coir Development.</w:t>
            </w:r>
            <w:r>
              <w:rPr>
                <w:rFonts w:ascii="Consolas" w:cs="Consolas" w:eastAsia="Consolas" w:hAnsi="Consolas"/>
                <w:color w:val="1A1A1A"/>
                <w:sz w:val="17"/>
                <w:szCs w:val="17"/>
              </w:rPr>
              <w:br/>
              <w:t xml:space="preserve">    Copy to: the Chief Minister's Office; the Minister for Industries; the MLA, Chittur.</w:t>
            </w:r>
          </w:p>
        </w:tc>
      </w:tr>
    </w:tbl>
    <w:sectPr>
      <w:headerReference w:type="default" r:id="rId7"/>
      <w:footerReference w:type="default" r:id="rId8"/>
      <w:pgSz w:w="11906" w:h="16838" w:orient="portrait"/>
      <w:pgMar w:top="1276"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jc w:val="center"/>
    </w:pPr>
    <w:r>
      <w:rPr>
        <w:rFonts w:ascii="Times New Roman" w:cs="Times New Roman" w:eastAsia="Times New Roman" w:hAnsi="Times New Roman"/>
        <w:color w:val="999999"/>
        <w:sz w:val="16"/>
        <w:szCs w:val="16"/>
      </w:rPr>
      <w:t xml:space="preserve">Coir pollution-category parity petition — Chittur</w:t>
    </w:r>
    <w:r>
      <w:rPr>
        <w:rFonts w:ascii="Times New Roman" w:cs="Times New Roman" w:eastAsia="Times New Roman" w:hAnsi="Times New Roman"/>
        <w:color w:val="999999"/>
        <w:sz w:val="16"/>
        <w:szCs w:val="16"/>
      </w:rPr>
      <w:t xml:space="preserve">	Page </w:t>
    </w:r>
    <w:r>
      <w:rPr>
        <w:rFonts w:ascii="Times New Roman" w:cs="Times New Roman" w:eastAsia="Times New Roman" w:hAnsi="Times New Roman"/>
        <w:color w:val="999999"/>
        <w:sz w:val="16"/>
        <w:szCs w:val="16"/>
      </w:rPr>
      <w:fldChar w:fldCharType="begin"/>
      <w:instrText xml:space="preserve">PAGE</w:instrText>
      <w:fldChar w:fldCharType="separate"/>
      <w:fldChar w:fldCharType="end"/>
    </w:r>
    <w:r>
      <w:rPr>
        <w:rFonts w:ascii="Times New Roman" w:cs="Times New Roman" w:eastAsia="Times New Roman" w:hAnsi="Times New Roman"/>
        <w:color w:val="999999"/>
        <w:sz w:val="16"/>
        <w:szCs w:val="16"/>
      </w:rPr>
      <w:t xml:space="preserve"> of </w:t>
    </w:r>
    <w:r>
      <w:rPr>
        <w:rFonts w:ascii="Times New Roman" w:cs="Times New Roman" w:eastAsia="Times New Roman" w:hAnsi="Times New Roman"/>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spacing w:after="0"/>
      <w:jc w:val="right"/>
    </w:pPr>
    <w:r>
      <w:rPr>
        <w:rFonts w:ascii="Times New Roman" w:cs="Times New Roman" w:eastAsia="Times New Roman" w:hAnsi="Times New Roman"/>
        <w:i/>
        <w:iCs/>
        <w:color w:val="888888"/>
        <w:sz w:val="16"/>
        <w:szCs w:val="16"/>
      </w:rPr>
      <w:t xml:space="preserve">Coconut farmers of Chittur Assembly Constituency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620" w:hanging="340"/>
      </w:pPr>
    </w:lvl>
  </w:abstractNum>
  <w:abstractNum w:abstractNumId="3" w15:restartNumberingAfterBreak="0">
    <w:multiLevelType w:val="hybridMultilevel"/>
    <w:lvl w:ilvl="0" w15:tentative="1">
      <w:start w:val="1"/>
      <w:numFmt w:val="bullet"/>
      <w:lvlText w:val="•"/>
      <w:lvlJc w:val="start"/>
      <w:pPr>
        <w:ind w:left="5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20"/>
      <w:outlineLvl w:val="0"/>
    </w:pPr>
    <w:rPr>
      <w:rFonts w:ascii="Times New Roman" w:cs="Times New Roman" w:eastAsia="Times New Roman" w:hAnsi="Times New Roman"/>
      <w:b/>
      <w:bCs/>
      <w:color w:val="0B3D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Petition — Coir Processing Pollution-Category Parity, Chittur</dc:title>
  <dc:creator>Coconut farmers of Chittur Assembly Constituency (represented by Arun)</dc:creator>
  <dc:description>Petition by Chittur coconut farmers on KSPCB vs TNPCB vs CPCB coir classification parity.</dc:description>
  <cp:lastModifiedBy>Un-named</cp:lastModifiedBy>
  <cp:revision>1</cp:revision>
  <dcterms:created xsi:type="dcterms:W3CDTF">2026-07-18T02:36:45.307Z</dcterms:created>
  <dcterms:modified xsi:type="dcterms:W3CDTF">2026-07-18T02:36:45.308Z</dcterms:modified>
</cp:coreProperties>
</file>

<file path=docProps/custom.xml><?xml version="1.0" encoding="utf-8"?>
<Properties xmlns="http://schemas.openxmlformats.org/officeDocument/2006/custom-properties" xmlns:vt="http://schemas.openxmlformats.org/officeDocument/2006/docPropsVTypes"/>
</file>