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Times New Roman" w:cs="Times New Roman" w:eastAsia="Times New Roman" w:hAnsi="Times New Roman"/>
          <w:b/>
          <w:bCs/>
          <w:color w:val="1A1A1A"/>
          <w:sz w:val="26"/>
          <w:szCs w:val="26"/>
        </w:rPr>
        <w:t xml:space="preserve">THE CHITTUR AGRICULTURE MARKETING SOCIETY, KOZHINJAMPARA</w:t>
      </w:r>
    </w:p>
    <w:p>
      <w:pPr>
        <w:spacing w:after="40"/>
        <w:jc w:val="center"/>
      </w:pPr>
      <w:r>
        <w:rPr>
          <w:rFonts w:ascii="Times New Roman" w:cs="Times New Roman" w:eastAsia="Times New Roman" w:hAnsi="Times New Roman"/>
          <w:i/>
          <w:iCs/>
          <w:color w:val="555555"/>
          <w:sz w:val="20"/>
          <w:szCs w:val="20"/>
        </w:rPr>
        <w:t xml:space="preserve">Chittur Taluk, Palakkad District, Kerala</w:t>
      </w:r>
    </w:p>
    <w:p>
      <w:pPr>
        <w:pBdr>
          <w:bottom w:val="single" w:color="808080" w:sz="6" w:space="1"/>
        </w:pBdr>
        <w:spacing w:after="120" w:before="40"/>
      </w:pPr>
      <w:r>
        <w:rPr>
          <w:rFonts w:ascii="Times New Roman" w:cs="Times New Roman" w:eastAsia="Times New Roman" w:hAnsi="Times New Roman"/>
          <w:color w:val="1A1A1A"/>
          <w:sz w:val="22"/>
          <w:szCs w:val="22"/>
        </w:rPr>
        <w:t xml:space="preserve"/>
      </w:r>
    </w:p>
    <w:p>
      <w:pPr>
        <w:spacing w:after="60" w:before="60"/>
        <w:jc w:val="center"/>
      </w:pPr>
      <w:r>
        <w:rPr>
          <w:rFonts w:ascii="Times New Roman" w:cs="Times New Roman" w:eastAsia="Times New Roman" w:hAnsi="Times New Roman"/>
          <w:b/>
          <w:bCs/>
          <w:color w:val="1A1A1A"/>
          <w:sz w:val="26"/>
          <w:szCs w:val="26"/>
        </w:rPr>
        <w:t xml:space="preserve">PETITION FOR POLLUTION-CATEGORY PARITY FOR THE COIR INDUSTRY IN CHITTUR</w:t>
      </w:r>
    </w:p>
    <w:p>
      <w:pPr>
        <w:spacing w:after="180"/>
        <w:jc w:val="center"/>
      </w:pPr>
      <w:r>
        <w:rPr>
          <w:rFonts w:ascii="Times New Roman" w:cs="Times New Roman" w:eastAsia="Times New Roman" w:hAnsi="Times New Roman"/>
          <w:i/>
          <w:iCs/>
          <w:color w:val="444444"/>
          <w:sz w:val="21"/>
          <w:szCs w:val="21"/>
        </w:rPr>
        <w:t xml:space="preserve">Re-alignment of husk retting and coir de-fibring / ginning with the CPCB Pollution-Index methodology and with Tamil Nadu's White-category treatment of the same husk and process chain</w:t>
      </w:r>
    </w:p>
    <w:p>
      <w:pPr>
        <w:spacing w:after="60" w:line="264"/>
      </w:pPr>
      <w:r>
        <w:rPr>
          <w:rFonts w:ascii="Times New Roman" w:cs="Times New Roman" w:eastAsia="Times New Roman" w:hAnsi="Times New Roman"/>
          <w:b/>
          <w:bCs/>
          <w:color w:val="1A1A1A"/>
          <w:sz w:val="22"/>
          <w:szCs w:val="22"/>
        </w:rPr>
        <w:t xml:space="preserve">To:  </w:t>
      </w:r>
      <w:r>
        <w:rPr>
          <w:rFonts w:ascii="Times New Roman" w:cs="Times New Roman" w:eastAsia="Times New Roman" w:hAnsi="Times New Roman"/>
          <w:color w:val="1A1A1A"/>
          <w:sz w:val="22"/>
          <w:szCs w:val="22"/>
        </w:rPr>
        <w:t xml:space="preserve">Shri P. K. Kunhalikutty,</w:t>
      </w:r>
      <w:r>
        <w:br/>
      </w:r>
      <w:r>
        <w:rPr>
          <w:rFonts w:ascii="Times New Roman" w:cs="Times New Roman" w:eastAsia="Times New Roman" w:hAnsi="Times New Roman"/>
          <w:color w:val="1A1A1A"/>
          <w:sz w:val="22"/>
          <w:szCs w:val="22"/>
        </w:rPr>
        <w:t xml:space="preserve">Hon'ble Minister for Industries &amp; Commerce, Government of Kerala,</w:t>
      </w:r>
      <w:r>
        <w:br/>
      </w:r>
      <w:r>
        <w:rPr>
          <w:rFonts w:ascii="Times New Roman" w:cs="Times New Roman" w:eastAsia="Times New Roman" w:hAnsi="Times New Roman"/>
          <w:color w:val="1A1A1A"/>
          <w:sz w:val="22"/>
          <w:szCs w:val="22"/>
        </w:rPr>
        <w:t xml:space="preserve">Thiruvananthapuram.</w:t>
      </w:r>
    </w:p>
    <w:p>
      <w:pPr>
        <w:spacing w:after="60" w:line="264"/>
      </w:pPr>
      <w:r>
        <w:rPr>
          <w:rFonts w:ascii="Times New Roman" w:cs="Times New Roman" w:eastAsia="Times New Roman" w:hAnsi="Times New Roman"/>
          <w:b/>
          <w:bCs/>
          <w:color w:val="1A1A1A"/>
          <w:sz w:val="22"/>
          <w:szCs w:val="22"/>
        </w:rPr>
        <w:t xml:space="preserve">Copy to:  </w:t>
      </w:r>
      <w:r>
        <w:rPr>
          <w:rFonts w:ascii="Times New Roman" w:cs="Times New Roman" w:eastAsia="Times New Roman" w:hAnsi="Times New Roman"/>
          <w:color w:val="1A1A1A"/>
          <w:sz w:val="22"/>
          <w:szCs w:val="22"/>
        </w:rPr>
        <w:t xml:space="preserve">1. Shri Ramesh Chennithala, Hon'ble Minister in charge of Coir.</w:t>
      </w:r>
      <w:r>
        <w:br/>
      </w:r>
      <w:r>
        <w:rPr>
          <w:rFonts w:ascii="Times New Roman" w:cs="Times New Roman" w:eastAsia="Times New Roman" w:hAnsi="Times New Roman"/>
          <w:color w:val="1A1A1A"/>
          <w:sz w:val="22"/>
          <w:szCs w:val="22"/>
        </w:rPr>
        <w:t xml:space="preserve">2. The Chairman, Kerala State Pollution Control Board (KSPCB).</w:t>
      </w:r>
    </w:p>
    <w:p>
      <w:pPr>
        <w:spacing w:after="60" w:line="264"/>
      </w:pPr>
      <w:r>
        <w:rPr>
          <w:rFonts w:ascii="Times New Roman" w:cs="Times New Roman" w:eastAsia="Times New Roman" w:hAnsi="Times New Roman"/>
          <w:b/>
          <w:bCs/>
          <w:color w:val="1A1A1A"/>
          <w:sz w:val="22"/>
          <w:szCs w:val="22"/>
        </w:rPr>
        <w:t xml:space="preserve">From:  </w:t>
      </w:r>
      <w:r>
        <w:rPr>
          <w:rFonts w:ascii="Times New Roman" w:cs="Times New Roman" w:eastAsia="Times New Roman" w:hAnsi="Times New Roman"/>
          <w:color w:val="1A1A1A"/>
          <w:sz w:val="22"/>
          <w:szCs w:val="22"/>
        </w:rPr>
        <w:t xml:space="preserve">The Chittur Agriculture Marketing Society, Kozhinjampara, Chittur Taluk, Palakkad District — represented by </w:t>
      </w:r>
      <w:r>
        <w:rPr>
          <w:rFonts w:ascii="Times New Roman" w:cs="Times New Roman" w:eastAsia="Times New Roman" w:hAnsi="Times New Roman"/>
          <w:b/>
          <w:bCs/>
          <w:color w:val="1A1A1A"/>
          <w:sz w:val="22"/>
          <w:szCs w:val="22"/>
        </w:rPr>
        <w:t xml:space="preserve">[Name, designation]</w:t>
      </w:r>
      <w:r>
        <w:rPr>
          <w:rFonts w:ascii="Times New Roman" w:cs="Times New Roman" w:eastAsia="Times New Roman" w:hAnsi="Times New Roman"/>
          <w:color w:val="1A1A1A"/>
          <w:sz w:val="22"/>
          <w:szCs w:val="22"/>
        </w:rPr>
        <w:t xml:space="preserve"> and delegation.</w:t>
      </w:r>
    </w:p>
    <w:p>
      <w:pPr>
        <w:spacing w:after="60" w:line="264"/>
      </w:pPr>
      <w:r>
        <w:rPr>
          <w:rFonts w:ascii="Times New Roman" w:cs="Times New Roman" w:eastAsia="Times New Roman" w:hAnsi="Times New Roman"/>
          <w:b/>
          <w:bCs/>
          <w:color w:val="1A1A1A"/>
          <w:sz w:val="22"/>
          <w:szCs w:val="22"/>
        </w:rPr>
        <w:t xml:space="preserve">Through:  </w:t>
      </w:r>
      <w:r>
        <w:rPr>
          <w:rFonts w:ascii="Times New Roman" w:cs="Times New Roman" w:eastAsia="Times New Roman" w:hAnsi="Times New Roman"/>
          <w:color w:val="1A1A1A"/>
          <w:sz w:val="22"/>
          <w:szCs w:val="22"/>
        </w:rPr>
        <w:t xml:space="preserve">Adv. Sumesh Achuthan, MLA, Chittur Constituency.</w:t>
      </w:r>
    </w:p>
    <w:p>
      <w:pPr>
        <w:spacing w:after="60" w:line="264"/>
      </w:pPr>
      <w:r>
        <w:rPr>
          <w:rFonts w:ascii="Times New Roman" w:cs="Times New Roman" w:eastAsia="Times New Roman" w:hAnsi="Times New Roman"/>
          <w:b/>
          <w:bCs/>
          <w:color w:val="1A1A1A"/>
          <w:sz w:val="22"/>
          <w:szCs w:val="22"/>
        </w:rPr>
        <w:t xml:space="preserve">Date:  </w:t>
      </w:r>
      <w:r>
        <w:rPr>
          <w:rFonts w:ascii="Times New Roman" w:cs="Times New Roman" w:eastAsia="Times New Roman" w:hAnsi="Times New Roman"/>
          <w:b/>
          <w:bCs/>
          <w:color w:val="1A1A1A"/>
          <w:sz w:val="22"/>
          <w:szCs w:val="22"/>
        </w:rPr>
        <w:t xml:space="preserve">[__] July 2026</w:t>
      </w:r>
      <w:r>
        <w:rPr>
          <w:rFonts w:ascii="Times New Roman" w:cs="Times New Roman" w:eastAsia="Times New Roman" w:hAnsi="Times New Roman"/>
          <w:color w:val="1A1A1A"/>
          <w:sz w:val="22"/>
          <w:szCs w:val="22"/>
        </w:rPr>
        <w:t xml:space="preserve">, Thiruvananthapuram.</w:t>
      </w:r>
    </w:p>
    <w:p>
      <w:pPr>
        <w:spacing w:after="160" w:before="40" w:line="276"/>
      </w:pPr>
      <w:r>
        <w:rPr>
          <w:rFonts w:ascii="Times New Roman" w:cs="Times New Roman" w:eastAsia="Times New Roman" w:hAnsi="Times New Roman"/>
          <w:b/>
          <w:bCs/>
          <w:color w:val="1A1A1A"/>
          <w:sz w:val="22"/>
          <w:szCs w:val="22"/>
        </w:rPr>
        <w:t xml:space="preserve">Subject:  </w:t>
      </w:r>
      <w:r>
        <w:rPr>
          <w:rFonts w:ascii="Times New Roman" w:cs="Times New Roman" w:eastAsia="Times New Roman" w:hAnsi="Times New Roman"/>
          <w:color w:val="1A1A1A"/>
          <w:sz w:val="22"/>
          <w:szCs w:val="22"/>
        </w:rPr>
        <w:t xml:space="preserve">Request to re-align the pollution-control classification of coconut-husk retting (presently Red) and coir de-fibring / ginning (presently Orange) in Kerala with the CPCB Pollution-Index norms and with Tamil Nadu's White-category treatment of the identical process chain, so that the primary coir industry can develop within Chittur instead of migrating across the district border to Pollachi (Tamil Nadu).</w:t>
      </w:r>
    </w:p>
    <w:p>
      <w:pPr>
        <w:pBdr>
          <w:bottom w:val="single" w:color="808080" w:sz="6" w:space="1"/>
        </w:pBdr>
        <w:spacing w:after="120" w:before="40"/>
      </w:pPr>
      <w:r>
        <w:rPr>
          <w:rFonts w:ascii="Times New Roman" w:cs="Times New Roman" w:eastAsia="Times New Roman" w:hAnsi="Times New Roman"/>
          <w:color w:val="1A1A1A"/>
          <w:sz w:val="22"/>
          <w:szCs w:val="22"/>
        </w:rPr>
        <w:t xml:space="preserve"/>
      </w:r>
    </w:p>
    <w:p>
      <w:pPr>
        <w:pStyle w:val="Heading1"/>
        <w:spacing w:after="100" w:before="220"/>
      </w:pPr>
      <w:r>
        <w:rPr>
          <w:rFonts w:ascii="Times New Roman" w:cs="Times New Roman" w:eastAsia="Times New Roman" w:hAnsi="Times New Roman"/>
          <w:b/>
          <w:bCs/>
          <w:color w:val="0B3D0B"/>
          <w:sz w:val="24"/>
          <w:szCs w:val="24"/>
        </w:rPr>
        <w:t xml:space="preserve">1.  Respected Sir</w:t>
      </w:r>
    </w:p>
    <w:p>
      <w:pPr>
        <w:spacing w:after="120" w:line="276"/>
      </w:pPr>
      <w:r>
        <w:rPr>
          <w:rFonts w:ascii="Times New Roman" w:cs="Times New Roman" w:eastAsia="Times New Roman" w:hAnsi="Times New Roman"/>
          <w:color w:val="1A1A1A"/>
          <w:sz w:val="22"/>
          <w:szCs w:val="22"/>
        </w:rPr>
        <w:t xml:space="preserve">Chittur Taluk adjoins the Pollachi coir belt of Tamil Nadu and enjoys abundant coconut and coir-husk availability. Yet the </w:t>
      </w:r>
      <w:r>
        <w:rPr>
          <w:rFonts w:ascii="Times New Roman" w:cs="Times New Roman" w:eastAsia="Times New Roman" w:hAnsi="Times New Roman"/>
          <w:b/>
          <w:bCs/>
          <w:color w:val="1A1A1A"/>
          <w:sz w:val="22"/>
          <w:szCs w:val="22"/>
        </w:rPr>
        <w:t xml:space="preserve">primary coir-processing industry has migrated almost entirely across the border to Pollachi</w:t>
      </w:r>
      <w:r>
        <w:rPr>
          <w:rFonts w:ascii="Times New Roman" w:cs="Times New Roman" w:eastAsia="Times New Roman" w:hAnsi="Times New Roman"/>
          <w:color w:val="1A1A1A"/>
          <w:sz w:val="22"/>
          <w:szCs w:val="22"/>
        </w:rPr>
        <w:t xml:space="preserve"> — barely 80 km away — chiefly because of a difference in </w:t>
      </w:r>
      <w:r>
        <w:rPr>
          <w:rFonts w:ascii="Times New Roman" w:cs="Times New Roman" w:eastAsia="Times New Roman" w:hAnsi="Times New Roman"/>
          <w:b/>
          <w:bCs/>
          <w:color w:val="1A1A1A"/>
          <w:sz w:val="22"/>
          <w:szCs w:val="22"/>
        </w:rPr>
        <w:t xml:space="preserve">pollution-control classification</w:t>
      </w:r>
      <w:r>
        <w:rPr>
          <w:rFonts w:ascii="Times New Roman" w:cs="Times New Roman" w:eastAsia="Times New Roman" w:hAnsi="Times New Roman"/>
          <w:color w:val="1A1A1A"/>
          <w:sz w:val="22"/>
          <w:szCs w:val="22"/>
        </w:rPr>
        <w:t xml:space="preserve"> between the two States for one and the same raw material and process chain. We respectfully pray for a level playing field.</w:t>
      </w:r>
    </w:p>
    <w:p>
      <w:pPr>
        <w:spacing w:after="120" w:line="276"/>
      </w:pPr>
      <w:r>
        <w:rPr>
          <w:rFonts w:ascii="Times New Roman" w:cs="Times New Roman" w:eastAsia="Times New Roman" w:hAnsi="Times New Roman"/>
          <w:color w:val="1A1A1A"/>
          <w:sz w:val="22"/>
          <w:szCs w:val="22"/>
        </w:rPr>
        <w:t xml:space="preserve">We wish, at the outset, to state the position </w:t>
      </w:r>
      <w:r>
        <w:rPr>
          <w:rFonts w:ascii="Times New Roman" w:cs="Times New Roman" w:eastAsia="Times New Roman" w:hAnsi="Times New Roman"/>
          <w:b/>
          <w:bCs/>
          <w:color w:val="1A1A1A"/>
          <w:sz w:val="22"/>
          <w:szCs w:val="22"/>
        </w:rPr>
        <w:t xml:space="preserve">precisely and without overstatement</w:t>
      </w:r>
      <w:r>
        <w:rPr>
          <w:rFonts w:ascii="Times New Roman" w:cs="Times New Roman" w:eastAsia="Times New Roman" w:hAnsi="Times New Roman"/>
          <w:color w:val="1A1A1A"/>
          <w:sz w:val="22"/>
          <w:szCs w:val="22"/>
        </w:rPr>
        <w:t xml:space="preserve">. On an earlier occasion the classification gap was described more broadly than the record supports. Having now examined KSPCB's current classification list, we place before the Government the </w:t>
      </w:r>
      <w:r>
        <w:rPr>
          <w:rFonts w:ascii="Times New Roman" w:cs="Times New Roman" w:eastAsia="Times New Roman" w:hAnsi="Times New Roman"/>
          <w:b/>
          <w:bCs/>
          <w:color w:val="1A1A1A"/>
          <w:sz w:val="22"/>
          <w:szCs w:val="22"/>
        </w:rPr>
        <w:t xml:space="preserve">exact and narrower position</w:t>
      </w:r>
      <w:r>
        <w:rPr>
          <w:rFonts w:ascii="Times New Roman" w:cs="Times New Roman" w:eastAsia="Times New Roman" w:hAnsi="Times New Roman"/>
          <w:color w:val="1A1A1A"/>
          <w:sz w:val="22"/>
          <w:szCs w:val="22"/>
        </w:rPr>
        <w:t xml:space="preserve">: Kerala already treats dry coir manufacturing leniently (White), in line with the national CPCB norm. The genuine bottleneck for a Chittur unit is sharp and limited — </w:t>
      </w:r>
      <w:r>
        <w:rPr>
          <w:rFonts w:ascii="Times New Roman" w:cs="Times New Roman" w:eastAsia="Times New Roman" w:hAnsi="Times New Roman"/>
          <w:b/>
          <w:bCs/>
          <w:color w:val="1A1A1A"/>
          <w:sz w:val="22"/>
          <w:szCs w:val="22"/>
        </w:rPr>
        <w:t xml:space="preserve">husk retting is in the Red category and coir de-fibring / ginning is in the Orange category</w:t>
      </w:r>
      <w:r>
        <w:rPr>
          <w:rFonts w:ascii="Times New Roman" w:cs="Times New Roman" w:eastAsia="Times New Roman" w:hAnsi="Times New Roman"/>
          <w:color w:val="1A1A1A"/>
          <w:sz w:val="22"/>
          <w:szCs w:val="22"/>
        </w:rPr>
        <w:t xml:space="preserve">.</w:t>
      </w:r>
    </w:p>
    <w:p>
      <w:pPr>
        <w:pStyle w:val="Heading1"/>
        <w:spacing w:after="100" w:before="220"/>
      </w:pPr>
      <w:r>
        <w:rPr>
          <w:rFonts w:ascii="Times New Roman" w:cs="Times New Roman" w:eastAsia="Times New Roman" w:hAnsi="Times New Roman"/>
          <w:b/>
          <w:bCs/>
          <w:color w:val="0B3D0B"/>
          <w:sz w:val="24"/>
          <w:szCs w:val="24"/>
        </w:rPr>
        <w:t xml:space="preserve">2.  The precise regulatory position in Kerala (KSPCB current list, December 2025)</w:t>
      </w:r>
    </w:p>
    <w:p>
      <w:pPr>
        <w:spacing w:after="120" w:line="276"/>
      </w:pPr>
      <w:r>
        <w:rPr>
          <w:rFonts w:ascii="Times New Roman" w:cs="Times New Roman" w:eastAsia="Times New Roman" w:hAnsi="Times New Roman"/>
          <w:color w:val="1A1A1A"/>
          <w:sz w:val="22"/>
          <w:szCs w:val="22"/>
        </w:rPr>
        <w:t xml:space="preserve">As per the Kerala State Pollution Control Board's current classification of industrial sectors, the coir process chain is placed as follows (reproduced in full at </w:t>
      </w:r>
      <w:r>
        <w:rPr>
          <w:rFonts w:ascii="Times New Roman" w:cs="Times New Roman" w:eastAsia="Times New Roman" w:hAnsi="Times New Roman"/>
          <w:b/>
          <w:bCs/>
          <w:color w:val="1A1A1A"/>
          <w:sz w:val="22"/>
          <w:szCs w:val="22"/>
        </w:rPr>
        <w:t xml:space="preserve">Annexure A</w:t>
      </w:r>
      <w:r>
        <w:rPr>
          <w:rFonts w:ascii="Times New Roman" w:cs="Times New Roman" w:eastAsia="Times New Roman" w:hAnsi="Times New Roman"/>
          <w:color w:val="1A1A1A"/>
          <w:sz w:val="22"/>
          <w:szCs w:val="22"/>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900"/>
        <w:gridCol w:w="1900"/>
        <w:gridCol w:w="3838"/>
      </w:tblGrid>
      <w:tr>
        <w:trPr>
          <w:tblHeader/>
        </w:trPr>
        <w:tc>
          <w:tcPr>
            <w:tcW w:type="dxa" w:w="3900"/>
            <w:shd w:fill="E9EFE9" w:color="auto" w:val="clear"/>
            <w:tcMar>
              <w:top w:type="dxa" w:w="60"/>
              <w:left w:type="dxa" w:w="100"/>
              <w:bottom w:type="dxa" w:w="60"/>
              <w:right w:type="dxa" w:w="100"/>
            </w:tcMar>
          </w:tcPr>
          <w:p>
            <w:pPr>
              <w:spacing w:after="40" w:line="252"/>
              <w:jc w:val="left"/>
            </w:pPr>
            <w:r>
              <w:rPr>
                <w:rFonts w:ascii="Times New Roman" w:cs="Times New Roman" w:eastAsia="Times New Roman" w:hAnsi="Times New Roman"/>
                <w:b/>
                <w:bCs/>
                <w:color w:val="222222"/>
                <w:sz w:val="20"/>
                <w:szCs w:val="20"/>
              </w:rPr>
              <w:t xml:space="preserve">Coir process / activity</w:t>
            </w:r>
          </w:p>
        </w:tc>
        <w:tc>
          <w:tcPr>
            <w:tcW w:type="dxa" w:w="1900"/>
            <w:shd w:fill="E9EFE9" w:color="auto" w:val="clear"/>
            <w:tcMar>
              <w:top w:type="dxa" w:w="60"/>
              <w:left w:type="dxa" w:w="100"/>
              <w:bottom w:type="dxa" w:w="60"/>
              <w:right w:type="dxa" w:w="100"/>
            </w:tcMar>
          </w:tcPr>
          <w:p>
            <w:pPr>
              <w:spacing w:after="40" w:line="252"/>
              <w:jc w:val="center"/>
            </w:pPr>
            <w:r>
              <w:rPr>
                <w:rFonts w:ascii="Times New Roman" w:cs="Times New Roman" w:eastAsia="Times New Roman" w:hAnsi="Times New Roman"/>
                <w:b/>
                <w:bCs/>
                <w:color w:val="222222"/>
                <w:sz w:val="20"/>
                <w:szCs w:val="20"/>
              </w:rPr>
              <w:t xml:space="preserve">KSPCB category</w:t>
            </w:r>
          </w:p>
        </w:tc>
        <w:tc>
          <w:tcPr>
            <w:tcW w:type="dxa" w:w="3838"/>
            <w:shd w:fill="E9EFE9" w:color="auto" w:val="clear"/>
            <w:tcMar>
              <w:top w:type="dxa" w:w="60"/>
              <w:left w:type="dxa" w:w="100"/>
              <w:bottom w:type="dxa" w:w="60"/>
              <w:right w:type="dxa" w:w="100"/>
            </w:tcMar>
          </w:tcPr>
          <w:p>
            <w:pPr>
              <w:spacing w:after="40" w:line="252"/>
              <w:jc w:val="left"/>
            </w:pPr>
            <w:r>
              <w:rPr>
                <w:rFonts w:ascii="Times New Roman" w:cs="Times New Roman" w:eastAsia="Times New Roman" w:hAnsi="Times New Roman"/>
                <w:b/>
                <w:bCs/>
                <w:color w:val="222222"/>
                <w:sz w:val="20"/>
                <w:szCs w:val="20"/>
              </w:rPr>
              <w:t xml:space="preserve">Consent regime &amp; implication</w:t>
            </w:r>
          </w:p>
        </w:tc>
      </w:tr>
      <w:tr>
        <w:tc>
          <w:tcPr>
            <w:tcW w:type="dxa" w:w="3900"/>
            <w:tcMar>
              <w:top w:type="dxa" w:w="60"/>
              <w:left w:type="dxa" w:w="100"/>
              <w:bottom w:type="dxa" w:w="60"/>
              <w:right w:type="dxa" w:w="100"/>
            </w:tcMar>
          </w:tcPr>
          <w:p>
            <w:pPr>
              <w:spacing w:after="40" w:line="252"/>
              <w:jc w:val="left"/>
            </w:pPr>
            <w:r>
              <w:rPr>
                <w:rFonts w:ascii="Times New Roman" w:cs="Times New Roman" w:eastAsia="Times New Roman" w:hAnsi="Times New Roman"/>
                <w:b w:val="false"/>
                <w:bCs w:val="false"/>
                <w:color w:val="1A1A1A"/>
                <w:sz w:val="20"/>
                <w:szCs w:val="20"/>
              </w:rPr>
              <w:t xml:space="preserve">Coconut-husk retting</w:t>
            </w:r>
          </w:p>
        </w:tc>
        <w:tc>
          <w:tcPr>
            <w:tcW w:type="dxa" w:w="1900"/>
            <w:tcMar>
              <w:top w:type="dxa" w:w="60"/>
              <w:left w:type="dxa" w:w="100"/>
              <w:bottom w:type="dxa" w:w="60"/>
              <w:right w:type="dxa" w:w="100"/>
            </w:tcMar>
          </w:tcPr>
          <w:p>
            <w:pPr>
              <w:spacing w:after="40" w:line="252"/>
            </w:pPr>
            <w:r>
              <w:rPr>
                <w:rFonts w:ascii="Times New Roman" w:cs="Times New Roman" w:eastAsia="Times New Roman" w:hAnsi="Times New Roman"/>
                <w:b/>
                <w:bCs/>
                <w:color w:val="C0392B"/>
                <w:sz w:val="20"/>
                <w:szCs w:val="20"/>
              </w:rPr>
              <w:t xml:space="preserve">RED</w:t>
            </w:r>
          </w:p>
        </w:tc>
        <w:tc>
          <w:tcPr>
            <w:tcW w:type="dxa" w:w="3838"/>
            <w:tcMar>
              <w:top w:type="dxa" w:w="60"/>
              <w:left w:type="dxa" w:w="100"/>
              <w:bottom w:type="dxa" w:w="60"/>
              <w:right w:type="dxa" w:w="100"/>
            </w:tcMar>
          </w:tcPr>
          <w:p>
            <w:pPr>
              <w:spacing w:after="40" w:line="252"/>
              <w:jc w:val="left"/>
            </w:pPr>
            <w:r>
              <w:rPr>
                <w:rFonts w:ascii="Times New Roman" w:cs="Times New Roman" w:eastAsia="Times New Roman" w:hAnsi="Times New Roman"/>
                <w:b w:val="false"/>
                <w:bCs w:val="false"/>
                <w:color w:val="1A1A1A"/>
                <w:sz w:val="20"/>
                <w:szCs w:val="20"/>
              </w:rPr>
              <w:t xml:space="preserve">Highest scrutiny — full Consent to Establish (CTE) and Consent to Operate (CTO); can attract public-hearing-tier appraisal.</w:t>
            </w:r>
          </w:p>
        </w:tc>
      </w:tr>
      <w:tr>
        <w:tc>
          <w:tcPr>
            <w:tcW w:type="dxa" w:w="3900"/>
            <w:tcMar>
              <w:top w:type="dxa" w:w="60"/>
              <w:left w:type="dxa" w:w="100"/>
              <w:bottom w:type="dxa" w:w="60"/>
              <w:right w:type="dxa" w:w="100"/>
            </w:tcMar>
          </w:tcPr>
          <w:p>
            <w:pPr>
              <w:spacing w:after="40" w:line="252"/>
              <w:jc w:val="left"/>
            </w:pPr>
            <w:r>
              <w:rPr>
                <w:rFonts w:ascii="Times New Roman" w:cs="Times New Roman" w:eastAsia="Times New Roman" w:hAnsi="Times New Roman"/>
                <w:b w:val="false"/>
                <w:bCs w:val="false"/>
                <w:color w:val="1A1A1A"/>
                <w:sz w:val="20"/>
                <w:szCs w:val="20"/>
              </w:rPr>
              <w:t xml:space="preserve">Coir de-fibring / ginning; coir stencilling; coir bleaching / dyeing</w:t>
            </w:r>
          </w:p>
        </w:tc>
        <w:tc>
          <w:tcPr>
            <w:tcW w:type="dxa" w:w="1900"/>
            <w:tcMar>
              <w:top w:type="dxa" w:w="60"/>
              <w:left w:type="dxa" w:w="100"/>
              <w:bottom w:type="dxa" w:w="60"/>
              <w:right w:type="dxa" w:w="100"/>
            </w:tcMar>
          </w:tcPr>
          <w:p>
            <w:pPr>
              <w:spacing w:after="40" w:line="252"/>
            </w:pPr>
            <w:r>
              <w:rPr>
                <w:rFonts w:ascii="Times New Roman" w:cs="Times New Roman" w:eastAsia="Times New Roman" w:hAnsi="Times New Roman"/>
                <w:b/>
                <w:bCs/>
                <w:color w:val="C87A00"/>
                <w:sz w:val="20"/>
                <w:szCs w:val="20"/>
              </w:rPr>
              <w:t xml:space="preserve">ORANGE</w:t>
            </w:r>
          </w:p>
        </w:tc>
        <w:tc>
          <w:tcPr>
            <w:tcW w:type="dxa" w:w="3838"/>
            <w:tcMar>
              <w:top w:type="dxa" w:w="60"/>
              <w:left w:type="dxa" w:w="100"/>
              <w:bottom w:type="dxa" w:w="60"/>
              <w:right w:type="dxa" w:w="100"/>
            </w:tcMar>
          </w:tcPr>
          <w:p>
            <w:pPr>
              <w:spacing w:after="40" w:line="252"/>
              <w:jc w:val="left"/>
            </w:pPr>
            <w:r>
              <w:rPr>
                <w:rFonts w:ascii="Times New Roman" w:cs="Times New Roman" w:eastAsia="Times New Roman" w:hAnsi="Times New Roman"/>
                <w:b w:val="false"/>
                <w:bCs w:val="false"/>
                <w:color w:val="1A1A1A"/>
                <w:sz w:val="20"/>
                <w:szCs w:val="20"/>
              </w:rPr>
              <w:t xml:space="preserve">Full CTE and CTO required, with periodic monitoring.</w:t>
            </w:r>
          </w:p>
        </w:tc>
      </w:tr>
      <w:tr>
        <w:tc>
          <w:tcPr>
            <w:tcW w:type="dxa" w:w="3900"/>
            <w:tcMar>
              <w:top w:type="dxa" w:w="60"/>
              <w:left w:type="dxa" w:w="100"/>
              <w:bottom w:type="dxa" w:w="60"/>
              <w:right w:type="dxa" w:w="100"/>
            </w:tcMar>
          </w:tcPr>
          <w:p>
            <w:pPr>
              <w:spacing w:after="40" w:line="252"/>
              <w:jc w:val="left"/>
            </w:pPr>
            <w:r>
              <w:rPr>
                <w:rFonts w:ascii="Times New Roman" w:cs="Times New Roman" w:eastAsia="Times New Roman" w:hAnsi="Times New Roman"/>
                <w:b w:val="false"/>
                <w:bCs w:val="false"/>
                <w:color w:val="1A1A1A"/>
                <w:sz w:val="20"/>
                <w:szCs w:val="20"/>
              </w:rPr>
              <w:t xml:space="preserve">Coir fibre / pith processing generating effluent</w:t>
            </w:r>
          </w:p>
        </w:tc>
        <w:tc>
          <w:tcPr>
            <w:tcW w:type="dxa" w:w="1900"/>
            <w:tcMar>
              <w:top w:type="dxa" w:w="60"/>
              <w:left w:type="dxa" w:w="100"/>
              <w:bottom w:type="dxa" w:w="60"/>
              <w:right w:type="dxa" w:w="100"/>
            </w:tcMar>
          </w:tcPr>
          <w:p>
            <w:pPr>
              <w:spacing w:after="40" w:line="252"/>
            </w:pPr>
            <w:r>
              <w:rPr>
                <w:rFonts w:ascii="Times New Roman" w:cs="Times New Roman" w:eastAsia="Times New Roman" w:hAnsi="Times New Roman"/>
                <w:b/>
                <w:bCs/>
                <w:color w:val="1E7D1E"/>
                <w:sz w:val="20"/>
                <w:szCs w:val="20"/>
              </w:rPr>
              <w:t xml:space="preserve">GREEN</w:t>
            </w:r>
          </w:p>
        </w:tc>
        <w:tc>
          <w:tcPr>
            <w:tcW w:type="dxa" w:w="3838"/>
            <w:tcMar>
              <w:top w:type="dxa" w:w="60"/>
              <w:left w:type="dxa" w:w="100"/>
              <w:bottom w:type="dxa" w:w="60"/>
              <w:right w:type="dxa" w:w="100"/>
            </w:tcMar>
          </w:tcPr>
          <w:p>
            <w:pPr>
              <w:spacing w:after="40" w:line="252"/>
              <w:jc w:val="left"/>
            </w:pPr>
            <w:r>
              <w:rPr>
                <w:rFonts w:ascii="Times New Roman" w:cs="Times New Roman" w:eastAsia="Times New Roman" w:hAnsi="Times New Roman"/>
                <w:b w:val="false"/>
                <w:bCs w:val="false"/>
                <w:color w:val="1A1A1A"/>
                <w:sz w:val="20"/>
                <w:szCs w:val="20"/>
              </w:rPr>
              <w:t xml:space="preserve">Simplified consent regime.</w:t>
            </w:r>
          </w:p>
        </w:tc>
      </w:tr>
      <w:tr>
        <w:tc>
          <w:tcPr>
            <w:tcW w:type="dxa" w:w="3900"/>
            <w:tcMar>
              <w:top w:type="dxa" w:w="60"/>
              <w:left w:type="dxa" w:w="100"/>
              <w:bottom w:type="dxa" w:w="60"/>
              <w:right w:type="dxa" w:w="100"/>
            </w:tcMar>
          </w:tcPr>
          <w:p>
            <w:pPr>
              <w:spacing w:after="40" w:line="252"/>
              <w:jc w:val="left"/>
            </w:pPr>
            <w:r>
              <w:rPr>
                <w:rFonts w:ascii="Times New Roman" w:cs="Times New Roman" w:eastAsia="Times New Roman" w:hAnsi="Times New Roman"/>
                <w:b w:val="false"/>
                <w:bCs w:val="false"/>
                <w:color w:val="1A1A1A"/>
                <w:sz w:val="20"/>
                <w:szCs w:val="20"/>
              </w:rPr>
              <w:t xml:space="preserve">Dry coir processing / coir products without effluent; coir yarn without dyeing; coir-pith final product; coir rope; curled coir</w:t>
            </w:r>
          </w:p>
        </w:tc>
        <w:tc>
          <w:tcPr>
            <w:tcW w:type="dxa" w:w="1900"/>
            <w:tcMar>
              <w:top w:type="dxa" w:w="60"/>
              <w:left w:type="dxa" w:w="100"/>
              <w:bottom w:type="dxa" w:w="60"/>
              <w:right w:type="dxa" w:w="100"/>
            </w:tcMar>
          </w:tcPr>
          <w:p>
            <w:pPr>
              <w:spacing w:after="40" w:line="252"/>
            </w:pPr>
            <w:r>
              <w:rPr>
                <w:rFonts w:ascii="Times New Roman" w:cs="Times New Roman" w:eastAsia="Times New Roman" w:hAnsi="Times New Roman"/>
                <w:b/>
                <w:bCs/>
                <w:color w:val="444444"/>
                <w:sz w:val="20"/>
                <w:szCs w:val="20"/>
              </w:rPr>
              <w:t xml:space="preserve">WHITE</w:t>
            </w:r>
          </w:p>
        </w:tc>
        <w:tc>
          <w:tcPr>
            <w:tcW w:type="dxa" w:w="3838"/>
            <w:tcMar>
              <w:top w:type="dxa" w:w="60"/>
              <w:left w:type="dxa" w:w="100"/>
              <w:bottom w:type="dxa" w:w="60"/>
              <w:right w:type="dxa" w:w="100"/>
            </w:tcMar>
          </w:tcPr>
          <w:p>
            <w:pPr>
              <w:spacing w:after="40" w:line="252"/>
              <w:jc w:val="left"/>
            </w:pPr>
            <w:r>
              <w:rPr>
                <w:rFonts w:ascii="Times New Roman" w:cs="Times New Roman" w:eastAsia="Times New Roman" w:hAnsi="Times New Roman"/>
                <w:b w:val="false"/>
                <w:bCs w:val="false"/>
                <w:color w:val="1A1A1A"/>
                <w:sz w:val="20"/>
                <w:szCs w:val="20"/>
              </w:rPr>
              <w:t xml:space="preserve">Practically non-polluting; no Consent to Operate — a simple intimation to KSPCB suffices.</w:t>
            </w:r>
          </w:p>
        </w:tc>
      </w:tr>
    </w:tbl>
    <w:p>
      <w:pPr>
        <w:spacing w:after="120"/>
      </w:pPr>
      <w:r>
        <w:rPr>
          <w:rFonts w:ascii="Times New Roman" w:cs="Times New Roman" w:eastAsia="Times New Roman" w:hAnsi="Times New Roman"/>
          <w:color w:val="1A1A1A"/>
          <w:sz w:val="22"/>
          <w:szCs w:val="22"/>
        </w:rPr>
        <w:t xml:space="preserve"/>
      </w:r>
    </w:p>
    <w:p>
      <w:pPr>
        <w:spacing w:after="120" w:line="276"/>
      </w:pPr>
      <w:r>
        <w:rPr>
          <w:rFonts w:ascii="Times New Roman" w:cs="Times New Roman" w:eastAsia="Times New Roman" w:hAnsi="Times New Roman"/>
          <w:color w:val="1A1A1A"/>
          <w:sz w:val="22"/>
          <w:szCs w:val="22"/>
        </w:rPr>
        <w:t xml:space="preserve">Two points follow. </w:t>
      </w:r>
      <w:r>
        <w:rPr>
          <w:rFonts w:ascii="Times New Roman" w:cs="Times New Roman" w:eastAsia="Times New Roman" w:hAnsi="Times New Roman"/>
          <w:b/>
          <w:bCs/>
          <w:color w:val="1A1A1A"/>
          <w:sz w:val="22"/>
          <w:szCs w:val="22"/>
        </w:rPr>
        <w:t xml:space="preserve">First</w:t>
      </w:r>
      <w:r>
        <w:rPr>
          <w:rFonts w:ascii="Times New Roman" w:cs="Times New Roman" w:eastAsia="Times New Roman" w:hAnsi="Times New Roman"/>
          <w:color w:val="1A1A1A"/>
          <w:sz w:val="22"/>
          <w:szCs w:val="22"/>
        </w:rPr>
        <w:t xml:space="preserve">, Kerala </w:t>
      </w:r>
      <w:r>
        <w:rPr>
          <w:rFonts w:ascii="Times New Roman" w:cs="Times New Roman" w:eastAsia="Times New Roman" w:hAnsi="Times New Roman"/>
          <w:b/>
          <w:bCs/>
          <w:color w:val="1A1A1A"/>
          <w:sz w:val="22"/>
          <w:szCs w:val="22"/>
        </w:rPr>
        <w:t xml:space="preserve">already</w:t>
      </w:r>
      <w:r>
        <w:rPr>
          <w:rFonts w:ascii="Times New Roman" w:cs="Times New Roman" w:eastAsia="Times New Roman" w:hAnsi="Times New Roman"/>
          <w:color w:val="1A1A1A"/>
          <w:sz w:val="22"/>
          <w:szCs w:val="22"/>
        </w:rPr>
        <w:t xml:space="preserve"> treats dry coir manufacturing — coir products, yarn without dyeing, coir pith as a final product, rope and curled coir — as </w:t>
      </w:r>
      <w:r>
        <w:rPr>
          <w:rFonts w:ascii="Times New Roman" w:cs="Times New Roman" w:eastAsia="Times New Roman" w:hAnsi="Times New Roman"/>
          <w:b/>
          <w:bCs/>
          <w:color w:val="1A1A1A"/>
          <w:sz w:val="22"/>
          <w:szCs w:val="22"/>
        </w:rPr>
        <w:t xml:space="preserve">White</w:t>
      </w:r>
      <w:r>
        <w:rPr>
          <w:rFonts w:ascii="Times New Roman" w:cs="Times New Roman" w:eastAsia="Times New Roman" w:hAnsi="Times New Roman"/>
          <w:color w:val="1A1A1A"/>
          <w:sz w:val="22"/>
          <w:szCs w:val="22"/>
        </w:rPr>
        <w:t xml:space="preserve">, matching the national CPCB White-category treatment. There is therefore </w:t>
      </w:r>
      <w:r>
        <w:rPr>
          <w:rFonts w:ascii="Times New Roman" w:cs="Times New Roman" w:eastAsia="Times New Roman" w:hAnsi="Times New Roman"/>
          <w:b/>
          <w:bCs/>
          <w:color w:val="1A1A1A"/>
          <w:sz w:val="22"/>
          <w:szCs w:val="22"/>
        </w:rPr>
        <w:t xml:space="preserve">no dispute</w:t>
      </w:r>
      <w:r>
        <w:rPr>
          <w:rFonts w:ascii="Times New Roman" w:cs="Times New Roman" w:eastAsia="Times New Roman" w:hAnsi="Times New Roman"/>
          <w:color w:val="1A1A1A"/>
          <w:sz w:val="22"/>
          <w:szCs w:val="22"/>
        </w:rPr>
        <w:t xml:space="preserve"> about dry value-addition. </w:t>
      </w:r>
      <w:r>
        <w:rPr>
          <w:rFonts w:ascii="Times New Roman" w:cs="Times New Roman" w:eastAsia="Times New Roman" w:hAnsi="Times New Roman"/>
          <w:b/>
          <w:bCs/>
          <w:color w:val="1A1A1A"/>
          <w:sz w:val="22"/>
          <w:szCs w:val="22"/>
        </w:rPr>
        <w:t xml:space="preserve">Second</w:t>
      </w:r>
      <w:r>
        <w:rPr>
          <w:rFonts w:ascii="Times New Roman" w:cs="Times New Roman" w:eastAsia="Times New Roman" w:hAnsi="Times New Roman"/>
          <w:color w:val="1A1A1A"/>
          <w:sz w:val="22"/>
          <w:szCs w:val="22"/>
        </w:rPr>
        <w:t xml:space="preserve">, the real and only bottleneck is at the </w:t>
      </w:r>
      <w:r>
        <w:rPr>
          <w:rFonts w:ascii="Times New Roman" w:cs="Times New Roman" w:eastAsia="Times New Roman" w:hAnsi="Times New Roman"/>
          <w:b/>
          <w:bCs/>
          <w:color w:val="1A1A1A"/>
          <w:sz w:val="22"/>
          <w:szCs w:val="22"/>
        </w:rPr>
        <w:t xml:space="preserve">primary end</w:t>
      </w:r>
      <w:r>
        <w:rPr>
          <w:rFonts w:ascii="Times New Roman" w:cs="Times New Roman" w:eastAsia="Times New Roman" w:hAnsi="Times New Roman"/>
          <w:color w:val="1A1A1A"/>
          <w:sz w:val="22"/>
          <w:szCs w:val="22"/>
        </w:rPr>
        <w:t xml:space="preserve"> of the chain: retting (Red) and de-fibring / ginning (Orange). Both require full Consent to Establish and Consent to Operate, and retting specifically can trigger public-hearing-tier scrutiny — which, for small MSME/cottage units, is prohibitive.</w:t>
      </w:r>
    </w:p>
    <w:p>
      <w:pPr>
        <w:pStyle w:val="Heading1"/>
        <w:spacing w:after="100" w:before="220"/>
      </w:pPr>
      <w:r>
        <w:rPr>
          <w:rFonts w:ascii="Times New Roman" w:cs="Times New Roman" w:eastAsia="Times New Roman" w:hAnsi="Times New Roman"/>
          <w:b/>
          <w:bCs/>
          <w:color w:val="0B3D0B"/>
          <w:sz w:val="24"/>
          <w:szCs w:val="24"/>
        </w:rPr>
        <w:t xml:space="preserve">3.  The comparator: Tamil Nadu treats the identical husk and process as White</w:t>
      </w:r>
    </w:p>
    <w:p>
      <w:pPr>
        <w:spacing w:after="120" w:line="276"/>
      </w:pPr>
      <w:r>
        <w:rPr>
          <w:rFonts w:ascii="Times New Roman" w:cs="Times New Roman" w:eastAsia="Times New Roman" w:hAnsi="Times New Roman"/>
          <w:color w:val="1A1A1A"/>
          <w:sz w:val="22"/>
          <w:szCs w:val="22"/>
        </w:rPr>
        <w:t xml:space="preserve">The Tamil Nadu Pollution Control Board (TNPCB) classifies the entire </w:t>
      </w:r>
      <w:r>
        <w:rPr>
          <w:rFonts w:ascii="Times New Roman" w:cs="Times New Roman" w:eastAsia="Times New Roman" w:hAnsi="Times New Roman"/>
          <w:b/>
          <w:bCs/>
          <w:color w:val="1A1A1A"/>
          <w:sz w:val="22"/>
          <w:szCs w:val="22"/>
        </w:rPr>
        <w:t xml:space="preserve">“coconut-husk retting / de-fibering / pith-processing industry”</w:t>
      </w:r>
      <w:r>
        <w:rPr>
          <w:rFonts w:ascii="Times New Roman" w:cs="Times New Roman" w:eastAsia="Times New Roman" w:hAnsi="Times New Roman"/>
          <w:color w:val="1A1A1A"/>
          <w:sz w:val="22"/>
          <w:szCs w:val="22"/>
        </w:rPr>
        <w:t xml:space="preserve"> in the </w:t>
      </w:r>
      <w:r>
        <w:rPr>
          <w:rFonts w:ascii="Times New Roman" w:cs="Times New Roman" w:eastAsia="Times New Roman" w:hAnsi="Times New Roman"/>
          <w:b/>
          <w:bCs/>
          <w:color w:val="1A1A1A"/>
          <w:sz w:val="22"/>
          <w:szCs w:val="22"/>
        </w:rPr>
        <w:t xml:space="preserve">White</w:t>
      </w:r>
      <w:r>
        <w:rPr>
          <w:rFonts w:ascii="Times New Roman" w:cs="Times New Roman" w:eastAsia="Times New Roman" w:hAnsi="Times New Roman"/>
          <w:color w:val="1A1A1A"/>
          <w:sz w:val="22"/>
          <w:szCs w:val="22"/>
        </w:rPr>
        <w:t xml:space="preserve"> category. The recent history is directly on point (reproduced at </w:t>
      </w:r>
      <w:r>
        <w:rPr>
          <w:rFonts w:ascii="Times New Roman" w:cs="Times New Roman" w:eastAsia="Times New Roman" w:hAnsi="Times New Roman"/>
          <w:b/>
          <w:bCs/>
          <w:color w:val="1A1A1A"/>
          <w:sz w:val="22"/>
          <w:szCs w:val="22"/>
        </w:rPr>
        <w:t xml:space="preserve">Annexure B</w:t>
      </w:r>
      <w:r>
        <w:rPr>
          <w:rFonts w:ascii="Times New Roman" w:cs="Times New Roman" w:eastAsia="Times New Roman" w:hAnsi="Times New Roman"/>
          <w:color w:val="1A1A1A"/>
          <w:sz w:val="22"/>
          <w:szCs w:val="22"/>
        </w:rPr>
        <w:t xml:space="preserve">):</w:t>
      </w:r>
    </w:p>
    <w:p>
      <w:pPr>
        <w:pStyle w:val="ListParagraph"/>
        <w:numPr>
          <w:ilvl w:val="0"/>
          <w:numId w:val="2"/>
        </w:numPr>
        <w:spacing w:after="80" w:line="268"/>
      </w:pPr>
      <w:r>
        <w:rPr>
          <w:rFonts w:ascii="Times New Roman" w:cs="Times New Roman" w:eastAsia="Times New Roman" w:hAnsi="Times New Roman"/>
          <w:b/>
          <w:bCs/>
          <w:color w:val="1A1A1A"/>
          <w:sz w:val="22"/>
          <w:szCs w:val="22"/>
        </w:rPr>
        <w:t xml:space="preserve">10-11-2021 — </w:t>
      </w:r>
      <w:r>
        <w:rPr>
          <w:rFonts w:ascii="Times New Roman" w:cs="Times New Roman" w:eastAsia="Times New Roman" w:hAnsi="Times New Roman"/>
          <w:color w:val="1A1A1A"/>
          <w:sz w:val="22"/>
          <w:szCs w:val="22"/>
        </w:rPr>
        <w:t xml:space="preserve">By proceedings dated 10 November 2021, TNPCB reclassified the coir industry from White to Orange, purportedly on directions of the environmental tribunal and courts, thereby subjecting these units to consent and periodic monitoring.</w:t>
      </w:r>
    </w:p>
    <w:p>
      <w:pPr>
        <w:pStyle w:val="ListParagraph"/>
        <w:numPr>
          <w:ilvl w:val="0"/>
          <w:numId w:val="2"/>
        </w:numPr>
        <w:spacing w:after="80" w:line="268"/>
      </w:pPr>
      <w:r>
        <w:rPr>
          <w:rFonts w:ascii="Times New Roman" w:cs="Times New Roman" w:eastAsia="Times New Roman" w:hAnsi="Times New Roman"/>
          <w:b/>
          <w:bCs/>
          <w:color w:val="1A1A1A"/>
          <w:sz w:val="22"/>
          <w:szCs w:val="22"/>
        </w:rPr>
        <w:t xml:space="preserve">12-10-2023 — </w:t>
      </w:r>
      <w:r>
        <w:rPr>
          <w:rFonts w:ascii="Times New Roman" w:cs="Times New Roman" w:eastAsia="Times New Roman" w:hAnsi="Times New Roman"/>
          <w:color w:val="1A1A1A"/>
          <w:sz w:val="22"/>
          <w:szCs w:val="22"/>
        </w:rPr>
        <w:t xml:space="preserve">After an enormous number of representations from coir exporters' and manufacturers' associations, TNPCB formally </w:t>
      </w:r>
      <w:r>
        <w:rPr>
          <w:rFonts w:ascii="Times New Roman" w:cs="Times New Roman" w:eastAsia="Times New Roman" w:hAnsi="Times New Roman"/>
          <w:b/>
          <w:bCs/>
          <w:color w:val="1A1A1A"/>
          <w:sz w:val="22"/>
          <w:szCs w:val="22"/>
        </w:rPr>
        <w:t xml:space="preserve">withdrew</w:t>
      </w:r>
      <w:r>
        <w:rPr>
          <w:rFonts w:ascii="Times New Roman" w:cs="Times New Roman" w:eastAsia="Times New Roman" w:hAnsi="Times New Roman"/>
          <w:color w:val="1A1A1A"/>
          <w:sz w:val="22"/>
          <w:szCs w:val="22"/>
        </w:rPr>
        <w:t xml:space="preserve"> that Orange reclassification, expressly </w:t>
      </w:r>
      <w:r>
        <w:rPr>
          <w:rFonts w:ascii="Times New Roman" w:cs="Times New Roman" w:eastAsia="Times New Roman" w:hAnsi="Times New Roman"/>
          <w:i/>
          <w:iCs/>
          <w:color w:val="1A1A1A"/>
          <w:sz w:val="22"/>
          <w:szCs w:val="22"/>
        </w:rPr>
        <w:t xml:space="preserve">“considering the coir industry is one of the vital agro-based cottage-type industries in the State contributing significantly to the creation of livelihood in major coconut-growing districts and to encourage the cottage-type MSME sector for the production of eco-friendly products”</w:t>
      </w:r>
      <w:r>
        <w:rPr>
          <w:rFonts w:ascii="Times New Roman" w:cs="Times New Roman" w:eastAsia="Times New Roman" w:hAnsi="Times New Roman"/>
          <w:color w:val="1A1A1A"/>
          <w:sz w:val="22"/>
          <w:szCs w:val="22"/>
        </w:rPr>
        <w:t xml:space="preserve">, restoring the coconut-husk retting / de-fibring / pith-processing industry to the </w:t>
      </w:r>
      <w:r>
        <w:rPr>
          <w:rFonts w:ascii="Times New Roman" w:cs="Times New Roman" w:eastAsia="Times New Roman" w:hAnsi="Times New Roman"/>
          <w:b/>
          <w:bCs/>
          <w:color w:val="1A1A1A"/>
          <w:sz w:val="22"/>
          <w:szCs w:val="22"/>
        </w:rPr>
        <w:t xml:space="preserve">White</w:t>
      </w:r>
      <w:r>
        <w:rPr>
          <w:rFonts w:ascii="Times New Roman" w:cs="Times New Roman" w:eastAsia="Times New Roman" w:hAnsi="Times New Roman"/>
          <w:color w:val="1A1A1A"/>
          <w:sz w:val="22"/>
          <w:szCs w:val="22"/>
        </w:rPr>
        <w:t xml:space="preserve"> category.</w:t>
      </w:r>
    </w:p>
    <w:p>
      <w:pPr>
        <w:spacing w:after="120" w:line="276"/>
      </w:pPr>
      <w:r>
        <w:rPr>
          <w:rFonts w:ascii="Times New Roman" w:cs="Times New Roman" w:eastAsia="Times New Roman" w:hAnsi="Times New Roman"/>
          <w:color w:val="1A1A1A"/>
          <w:sz w:val="22"/>
          <w:szCs w:val="22"/>
        </w:rPr>
        <w:t xml:space="preserve">The comparison could not be starker. It is the </w:t>
      </w:r>
      <w:r>
        <w:rPr>
          <w:rFonts w:ascii="Times New Roman" w:cs="Times New Roman" w:eastAsia="Times New Roman" w:hAnsi="Times New Roman"/>
          <w:b/>
          <w:bCs/>
          <w:color w:val="1A1A1A"/>
          <w:sz w:val="22"/>
          <w:szCs w:val="22"/>
        </w:rPr>
        <w:t xml:space="preserve">same husk, the same process chain, roughly 80 km apart across the same district border</w:t>
      </w:r>
      <w:r>
        <w:rPr>
          <w:rFonts w:ascii="Times New Roman" w:cs="Times New Roman" w:eastAsia="Times New Roman" w:hAnsi="Times New Roman"/>
          <w:color w:val="1A1A1A"/>
          <w:sz w:val="22"/>
          <w:szCs w:val="22"/>
        </w:rPr>
        <w:t xml:space="preserve"> — yet placed in opposite regulatory tiers: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38"/>
        <w:gridCol w:w="3200"/>
        <w:gridCol w:w="3200"/>
      </w:tblGrid>
      <w:tr>
        <w:trPr>
          <w:tblHeader/>
        </w:trPr>
        <w:tc>
          <w:tcPr>
            <w:tcW w:type="dxa" w:w="3238"/>
            <w:shd w:fill="E9EFE9" w:color="auto" w:val="clear"/>
            <w:tcMar>
              <w:top w:type="dxa" w:w="60"/>
              <w:left w:type="dxa" w:w="100"/>
              <w:bottom w:type="dxa" w:w="60"/>
              <w:right w:type="dxa" w:w="100"/>
            </w:tcMar>
          </w:tcPr>
          <w:p>
            <w:pPr>
              <w:spacing w:after="40" w:line="252"/>
              <w:jc w:val="left"/>
            </w:pPr>
            <w:r>
              <w:rPr>
                <w:rFonts w:ascii="Times New Roman" w:cs="Times New Roman" w:eastAsia="Times New Roman" w:hAnsi="Times New Roman"/>
                <w:b/>
                <w:bCs/>
                <w:color w:val="222222"/>
                <w:sz w:val="20"/>
                <w:szCs w:val="20"/>
              </w:rPr>
              <w:t xml:space="preserve">Process</w:t>
            </w:r>
          </w:p>
        </w:tc>
        <w:tc>
          <w:tcPr>
            <w:tcW w:type="dxa" w:w="3200"/>
            <w:shd w:fill="E9EFE9" w:color="auto" w:val="clear"/>
            <w:tcMar>
              <w:top w:type="dxa" w:w="60"/>
              <w:left w:type="dxa" w:w="100"/>
              <w:bottom w:type="dxa" w:w="60"/>
              <w:right w:type="dxa" w:w="100"/>
            </w:tcMar>
          </w:tcPr>
          <w:p>
            <w:pPr>
              <w:spacing w:after="40" w:line="252"/>
              <w:jc w:val="center"/>
            </w:pPr>
            <w:r>
              <w:rPr>
                <w:rFonts w:ascii="Times New Roman" w:cs="Times New Roman" w:eastAsia="Times New Roman" w:hAnsi="Times New Roman"/>
                <w:b/>
                <w:bCs/>
                <w:color w:val="222222"/>
                <w:sz w:val="20"/>
                <w:szCs w:val="20"/>
              </w:rPr>
              <w:t xml:space="preserve">Kerala (KSPCB)</w:t>
            </w:r>
          </w:p>
        </w:tc>
        <w:tc>
          <w:tcPr>
            <w:tcW w:type="dxa" w:w="3200"/>
            <w:shd w:fill="E9EFE9" w:color="auto" w:val="clear"/>
            <w:tcMar>
              <w:top w:type="dxa" w:w="60"/>
              <w:left w:type="dxa" w:w="100"/>
              <w:bottom w:type="dxa" w:w="60"/>
              <w:right w:type="dxa" w:w="100"/>
            </w:tcMar>
          </w:tcPr>
          <w:p>
            <w:pPr>
              <w:spacing w:after="40" w:line="252"/>
              <w:jc w:val="center"/>
            </w:pPr>
            <w:r>
              <w:rPr>
                <w:rFonts w:ascii="Times New Roman" w:cs="Times New Roman" w:eastAsia="Times New Roman" w:hAnsi="Times New Roman"/>
                <w:b/>
                <w:bCs/>
                <w:color w:val="222222"/>
                <w:sz w:val="20"/>
                <w:szCs w:val="20"/>
              </w:rPr>
              <w:t xml:space="preserve">Tamil Nadu (TNPCB)</w:t>
            </w:r>
          </w:p>
        </w:tc>
      </w:tr>
      <w:tr>
        <w:tc>
          <w:tcPr>
            <w:tcW w:type="dxa" w:w="3238"/>
            <w:tcMar>
              <w:top w:type="dxa" w:w="60"/>
              <w:left w:type="dxa" w:w="100"/>
              <w:bottom w:type="dxa" w:w="60"/>
              <w:right w:type="dxa" w:w="100"/>
            </w:tcMar>
          </w:tcPr>
          <w:p>
            <w:pPr>
              <w:spacing w:after="40" w:line="252"/>
              <w:jc w:val="left"/>
            </w:pPr>
            <w:r>
              <w:rPr>
                <w:rFonts w:ascii="Times New Roman" w:cs="Times New Roman" w:eastAsia="Times New Roman" w:hAnsi="Times New Roman"/>
                <w:b w:val="false"/>
                <w:bCs w:val="false"/>
                <w:color w:val="1A1A1A"/>
                <w:sz w:val="20"/>
                <w:szCs w:val="20"/>
              </w:rPr>
              <w:t xml:space="preserve">Coconut-husk retting</w:t>
            </w:r>
          </w:p>
        </w:tc>
        <w:tc>
          <w:tcPr>
            <w:tcW w:type="dxa" w:w="3200"/>
            <w:tcMar>
              <w:top w:type="dxa" w:w="60"/>
              <w:left w:type="dxa" w:w="100"/>
              <w:bottom w:type="dxa" w:w="60"/>
              <w:right w:type="dxa" w:w="100"/>
            </w:tcMar>
          </w:tcPr>
          <w:p>
            <w:pPr>
              <w:spacing w:after="40" w:line="252"/>
            </w:pPr>
            <w:r>
              <w:rPr>
                <w:rFonts w:ascii="Times New Roman" w:cs="Times New Roman" w:eastAsia="Times New Roman" w:hAnsi="Times New Roman"/>
                <w:b/>
                <w:bCs/>
                <w:color w:val="C0392B"/>
                <w:sz w:val="20"/>
                <w:szCs w:val="20"/>
              </w:rPr>
              <w:t xml:space="preserve">RED</w:t>
            </w:r>
          </w:p>
        </w:tc>
        <w:tc>
          <w:tcPr>
            <w:tcW w:type="dxa" w:w="3200"/>
            <w:tcMar>
              <w:top w:type="dxa" w:w="60"/>
              <w:left w:type="dxa" w:w="100"/>
              <w:bottom w:type="dxa" w:w="60"/>
              <w:right w:type="dxa" w:w="100"/>
            </w:tcMar>
          </w:tcPr>
          <w:p>
            <w:pPr>
              <w:spacing w:after="40" w:line="252"/>
            </w:pPr>
            <w:r>
              <w:rPr>
                <w:rFonts w:ascii="Times New Roman" w:cs="Times New Roman" w:eastAsia="Times New Roman" w:hAnsi="Times New Roman"/>
                <w:b/>
                <w:bCs/>
                <w:color w:val="444444"/>
                <w:sz w:val="20"/>
                <w:szCs w:val="20"/>
              </w:rPr>
              <w:t xml:space="preserve">WHITE</w:t>
            </w:r>
          </w:p>
        </w:tc>
      </w:tr>
      <w:tr>
        <w:tc>
          <w:tcPr>
            <w:tcW w:type="dxa" w:w="3238"/>
            <w:tcMar>
              <w:top w:type="dxa" w:w="60"/>
              <w:left w:type="dxa" w:w="100"/>
              <w:bottom w:type="dxa" w:w="60"/>
              <w:right w:type="dxa" w:w="100"/>
            </w:tcMar>
          </w:tcPr>
          <w:p>
            <w:pPr>
              <w:spacing w:after="40" w:line="252"/>
              <w:jc w:val="left"/>
            </w:pPr>
            <w:r>
              <w:rPr>
                <w:rFonts w:ascii="Times New Roman" w:cs="Times New Roman" w:eastAsia="Times New Roman" w:hAnsi="Times New Roman"/>
                <w:b w:val="false"/>
                <w:bCs w:val="false"/>
                <w:color w:val="1A1A1A"/>
                <w:sz w:val="20"/>
                <w:szCs w:val="20"/>
              </w:rPr>
              <w:t xml:space="preserve">Coir de-fibring / ginning</w:t>
            </w:r>
          </w:p>
        </w:tc>
        <w:tc>
          <w:tcPr>
            <w:tcW w:type="dxa" w:w="3200"/>
            <w:tcMar>
              <w:top w:type="dxa" w:w="60"/>
              <w:left w:type="dxa" w:w="100"/>
              <w:bottom w:type="dxa" w:w="60"/>
              <w:right w:type="dxa" w:w="100"/>
            </w:tcMar>
          </w:tcPr>
          <w:p>
            <w:pPr>
              <w:spacing w:after="40" w:line="252"/>
            </w:pPr>
            <w:r>
              <w:rPr>
                <w:rFonts w:ascii="Times New Roman" w:cs="Times New Roman" w:eastAsia="Times New Roman" w:hAnsi="Times New Roman"/>
                <w:b/>
                <w:bCs/>
                <w:color w:val="C87A00"/>
                <w:sz w:val="20"/>
                <w:szCs w:val="20"/>
              </w:rPr>
              <w:t xml:space="preserve">ORANGE</w:t>
            </w:r>
          </w:p>
        </w:tc>
        <w:tc>
          <w:tcPr>
            <w:tcW w:type="dxa" w:w="3200"/>
            <w:tcMar>
              <w:top w:type="dxa" w:w="60"/>
              <w:left w:type="dxa" w:w="100"/>
              <w:bottom w:type="dxa" w:w="60"/>
              <w:right w:type="dxa" w:w="100"/>
            </w:tcMar>
          </w:tcPr>
          <w:p>
            <w:pPr>
              <w:spacing w:after="40" w:line="252"/>
            </w:pPr>
            <w:r>
              <w:rPr>
                <w:rFonts w:ascii="Times New Roman" w:cs="Times New Roman" w:eastAsia="Times New Roman" w:hAnsi="Times New Roman"/>
                <w:b/>
                <w:bCs/>
                <w:color w:val="444444"/>
                <w:sz w:val="20"/>
                <w:szCs w:val="20"/>
              </w:rPr>
              <w:t xml:space="preserve">WHITE</w:t>
            </w:r>
          </w:p>
        </w:tc>
      </w:tr>
      <w:tr>
        <w:tc>
          <w:tcPr>
            <w:tcW w:type="dxa" w:w="3238"/>
            <w:tcMar>
              <w:top w:type="dxa" w:w="60"/>
              <w:left w:type="dxa" w:w="100"/>
              <w:bottom w:type="dxa" w:w="60"/>
              <w:right w:type="dxa" w:w="100"/>
            </w:tcMar>
          </w:tcPr>
          <w:p>
            <w:pPr>
              <w:spacing w:after="40" w:line="252"/>
              <w:jc w:val="left"/>
            </w:pPr>
            <w:r>
              <w:rPr>
                <w:rFonts w:ascii="Times New Roman" w:cs="Times New Roman" w:eastAsia="Times New Roman" w:hAnsi="Times New Roman"/>
                <w:b w:val="false"/>
                <w:bCs w:val="false"/>
                <w:color w:val="1A1A1A"/>
                <w:sz w:val="20"/>
                <w:szCs w:val="20"/>
              </w:rPr>
              <w:t xml:space="preserve">Coir-pith processing</w:t>
            </w:r>
          </w:p>
        </w:tc>
        <w:tc>
          <w:tcPr>
            <w:tcW w:type="dxa" w:w="3200"/>
            <w:tcMar>
              <w:top w:type="dxa" w:w="60"/>
              <w:left w:type="dxa" w:w="100"/>
              <w:bottom w:type="dxa" w:w="60"/>
              <w:right w:type="dxa" w:w="100"/>
            </w:tcMar>
          </w:tcPr>
          <w:p>
            <w:pPr>
              <w:spacing w:after="40" w:line="252"/>
            </w:pPr>
            <w:r>
              <w:rPr>
                <w:rFonts w:ascii="Times New Roman" w:cs="Times New Roman" w:eastAsia="Times New Roman" w:hAnsi="Times New Roman"/>
                <w:b/>
                <w:bCs/>
                <w:color w:val="1E7D1E"/>
                <w:sz w:val="20"/>
                <w:szCs w:val="20"/>
              </w:rPr>
              <w:t xml:space="preserve">GREEN (effluent) / WHITE (dry)</w:t>
            </w:r>
          </w:p>
        </w:tc>
        <w:tc>
          <w:tcPr>
            <w:tcW w:type="dxa" w:w="3200"/>
            <w:tcMar>
              <w:top w:type="dxa" w:w="60"/>
              <w:left w:type="dxa" w:w="100"/>
              <w:bottom w:type="dxa" w:w="60"/>
              <w:right w:type="dxa" w:w="100"/>
            </w:tcMar>
          </w:tcPr>
          <w:p>
            <w:pPr>
              <w:spacing w:after="40" w:line="252"/>
            </w:pPr>
            <w:r>
              <w:rPr>
                <w:rFonts w:ascii="Times New Roman" w:cs="Times New Roman" w:eastAsia="Times New Roman" w:hAnsi="Times New Roman"/>
                <w:b/>
                <w:bCs/>
                <w:color w:val="444444"/>
                <w:sz w:val="20"/>
                <w:szCs w:val="20"/>
              </w:rPr>
              <w:t xml:space="preserve">WHITE</w:t>
            </w:r>
          </w:p>
        </w:tc>
      </w:tr>
    </w:tbl>
    <w:p>
      <w:pPr>
        <w:spacing w:after="120"/>
      </w:pPr>
      <w:r>
        <w:rPr>
          <w:rFonts w:ascii="Times New Roman" w:cs="Times New Roman" w:eastAsia="Times New Roman" w:hAnsi="Times New Roman"/>
          <w:color w:val="1A1A1A"/>
          <w:sz w:val="22"/>
          <w:szCs w:val="22"/>
        </w:rPr>
        <w:t xml:space="preserve"/>
      </w:r>
    </w:p>
    <w:p>
      <w:pPr>
        <w:pStyle w:val="Heading1"/>
        <w:spacing w:after="100" w:before="220"/>
      </w:pPr>
      <w:r>
        <w:rPr>
          <w:rFonts w:ascii="Times New Roman" w:cs="Times New Roman" w:eastAsia="Times New Roman" w:hAnsi="Times New Roman"/>
          <w:b/>
          <w:bCs/>
          <w:color w:val="0B3D0B"/>
          <w:sz w:val="24"/>
          <w:szCs w:val="24"/>
        </w:rPr>
        <w:t xml:space="preserve">4.  The re-alignment is squarely within the CPCB methodology</w:t>
      </w:r>
    </w:p>
    <w:p>
      <w:pPr>
        <w:spacing w:after="120" w:line="276"/>
      </w:pPr>
      <w:r>
        <w:rPr>
          <w:rFonts w:ascii="Times New Roman" w:cs="Times New Roman" w:eastAsia="Times New Roman" w:hAnsi="Times New Roman"/>
          <w:color w:val="1A1A1A"/>
          <w:sz w:val="22"/>
          <w:szCs w:val="22"/>
        </w:rPr>
        <w:t xml:space="preserve">The classification is not left to discretion; it is governed by a national, Pollution-Index (PI) based methodology. The </w:t>
      </w:r>
      <w:r>
        <w:rPr>
          <w:rFonts w:ascii="Times New Roman" w:cs="Times New Roman" w:eastAsia="Times New Roman" w:hAnsi="Times New Roman"/>
          <w:b/>
          <w:bCs/>
          <w:color w:val="1A1A1A"/>
          <w:sz w:val="22"/>
          <w:szCs w:val="22"/>
        </w:rPr>
        <w:t xml:space="preserve">CPCB Directions dated 07-03-2016 (No. B-29012/ESS(CPA)/2015-16)</w:t>
      </w:r>
      <w:r>
        <w:rPr>
          <w:rFonts w:ascii="Times New Roman" w:cs="Times New Roman" w:eastAsia="Times New Roman" w:hAnsi="Times New Roman"/>
          <w:color w:val="1A1A1A"/>
          <w:sz w:val="22"/>
          <w:szCs w:val="22"/>
        </w:rPr>
        <w:t xml:space="preserve">, issued under </w:t>
      </w:r>
      <w:r>
        <w:rPr>
          <w:rFonts w:ascii="Times New Roman" w:cs="Times New Roman" w:eastAsia="Times New Roman" w:hAnsi="Times New Roman"/>
          <w:b/>
          <w:bCs/>
          <w:color w:val="1A1A1A"/>
          <w:sz w:val="22"/>
          <w:szCs w:val="22"/>
        </w:rPr>
        <w:t xml:space="preserve">Section 18(1)(b) of the Water (Prevention and Control of Pollution) Act, 1974</w:t>
      </w:r>
      <w:r>
        <w:rPr>
          <w:rFonts w:ascii="Times New Roman" w:cs="Times New Roman" w:eastAsia="Times New Roman" w:hAnsi="Times New Roman"/>
          <w:color w:val="1A1A1A"/>
          <w:sz w:val="22"/>
          <w:szCs w:val="22"/>
        </w:rPr>
        <w:t xml:space="preserve">, fix the tiers on a Pollution-Index basis — </w:t>
      </w:r>
      <w:r>
        <w:rPr>
          <w:rFonts w:ascii="Times New Roman" w:cs="Times New Roman" w:eastAsia="Times New Roman" w:hAnsi="Times New Roman"/>
          <w:b/>
          <w:bCs/>
          <w:color w:val="1A1A1A"/>
          <w:sz w:val="22"/>
          <w:szCs w:val="22"/>
        </w:rPr>
        <w:t xml:space="preserve">Red (PI ≥ 60), Orange (41–59), Green (21–40), White (≤ 20)</w:t>
      </w:r>
      <w:r>
        <w:rPr>
          <w:rFonts w:ascii="Times New Roman" w:cs="Times New Roman" w:eastAsia="Times New Roman" w:hAnsi="Times New Roman"/>
          <w:color w:val="1A1A1A"/>
          <w:sz w:val="22"/>
          <w:szCs w:val="22"/>
        </w:rPr>
        <w:t xml:space="preserve"> — carried forward by the subsequent CPCB Directions of 2025. White-category units require </w:t>
      </w:r>
      <w:r>
        <w:rPr>
          <w:rFonts w:ascii="Times New Roman" w:cs="Times New Roman" w:eastAsia="Times New Roman" w:hAnsi="Times New Roman"/>
          <w:b/>
          <w:bCs/>
          <w:color w:val="1A1A1A"/>
          <w:sz w:val="22"/>
          <w:szCs w:val="22"/>
        </w:rPr>
        <w:t xml:space="preserve">no Consent to Operate</w:t>
      </w:r>
      <w:r>
        <w:rPr>
          <w:rFonts w:ascii="Times New Roman" w:cs="Times New Roman" w:eastAsia="Times New Roman" w:hAnsi="Times New Roman"/>
          <w:color w:val="1A1A1A"/>
          <w:sz w:val="22"/>
          <w:szCs w:val="22"/>
        </w:rPr>
        <w:t xml:space="preserve">; a mere intimation to the SPCB suffices.</w:t>
      </w:r>
    </w:p>
    <w:p>
      <w:pPr>
        <w:spacing w:after="120" w:line="276"/>
      </w:pPr>
      <w:r>
        <w:rPr>
          <w:rFonts w:ascii="Times New Roman" w:cs="Times New Roman" w:eastAsia="Times New Roman" w:hAnsi="Times New Roman"/>
          <w:color w:val="1A1A1A"/>
          <w:sz w:val="22"/>
          <w:szCs w:val="22"/>
        </w:rPr>
        <w:t xml:space="preserve">Under this very methodology, a </w:t>
      </w:r>
      <w:r>
        <w:rPr>
          <w:rFonts w:ascii="Times New Roman" w:cs="Times New Roman" w:eastAsia="Times New Roman" w:hAnsi="Times New Roman"/>
          <w:b/>
          <w:bCs/>
          <w:color w:val="1A1A1A"/>
          <w:sz w:val="22"/>
          <w:szCs w:val="22"/>
        </w:rPr>
        <w:t xml:space="preserve">dry mechanical de-fibring / ginning operation carries a low Pollution Index</w:t>
      </w:r>
      <w:r>
        <w:rPr>
          <w:rFonts w:ascii="Times New Roman" w:cs="Times New Roman" w:eastAsia="Times New Roman" w:hAnsi="Times New Roman"/>
          <w:color w:val="1A1A1A"/>
          <w:sz w:val="22"/>
          <w:szCs w:val="22"/>
        </w:rPr>
        <w:t xml:space="preserve"> and is treated as White by TNPCB and, in Kerala itself, dry coir manufacturing is already White. Retaining ordinary de-fibring / ginning in Orange in Kerala is therefore </w:t>
      </w:r>
      <w:r>
        <w:rPr>
          <w:rFonts w:ascii="Times New Roman" w:cs="Times New Roman" w:eastAsia="Times New Roman" w:hAnsi="Times New Roman"/>
          <w:b/>
          <w:bCs/>
          <w:color w:val="1A1A1A"/>
          <w:sz w:val="22"/>
          <w:szCs w:val="22"/>
        </w:rPr>
        <w:t xml:space="preserve">stricter than the CPCB norm requires</w:t>
      </w:r>
      <w:r>
        <w:rPr>
          <w:rFonts w:ascii="Times New Roman" w:cs="Times New Roman" w:eastAsia="Times New Roman" w:hAnsi="Times New Roman"/>
          <w:color w:val="1A1A1A"/>
          <w:sz w:val="22"/>
          <w:szCs w:val="22"/>
        </w:rPr>
        <w:t xml:space="preserve">. Retting, which involves water and effluent, legitimately warrants safeguards — but those are best delivered through </w:t>
      </w:r>
      <w:r>
        <w:rPr>
          <w:rFonts w:ascii="Times New Roman" w:cs="Times New Roman" w:eastAsia="Times New Roman" w:hAnsi="Times New Roman"/>
          <w:b/>
          <w:bCs/>
          <w:color w:val="1A1A1A"/>
          <w:sz w:val="22"/>
          <w:szCs w:val="22"/>
        </w:rPr>
        <w:t xml:space="preserve">collective effluent management (Zero-Liquid-Discharge) at a Common Facility Centre</w:t>
      </w:r>
      <w:r>
        <w:rPr>
          <w:rFonts w:ascii="Times New Roman" w:cs="Times New Roman" w:eastAsia="Times New Roman" w:hAnsi="Times New Roman"/>
          <w:color w:val="1A1A1A"/>
          <w:sz w:val="22"/>
          <w:szCs w:val="22"/>
        </w:rPr>
        <w:t xml:space="preserve">, exactly as Tamil Nadu has done, rather than through a Red-category, public-hearing-tier barrier that simply exports the industry and its jobs across the border.</w:t>
      </w:r>
    </w:p>
    <w:p>
      <w:pPr>
        <w:pStyle w:val="Heading1"/>
        <w:spacing w:after="100" w:before="220"/>
      </w:pPr>
      <w:r>
        <w:rPr>
          <w:rFonts w:ascii="Times New Roman" w:cs="Times New Roman" w:eastAsia="Times New Roman" w:hAnsi="Times New Roman"/>
          <w:b/>
          <w:bCs/>
          <w:color w:val="0B3D0B"/>
          <w:sz w:val="24"/>
          <w:szCs w:val="24"/>
        </w:rPr>
        <w:t xml:space="preserve">5.  The consequence for Chittur</w:t>
      </w:r>
    </w:p>
    <w:p>
      <w:pPr>
        <w:spacing w:after="120" w:line="276"/>
      </w:pPr>
      <w:r>
        <w:rPr>
          <w:rFonts w:ascii="Times New Roman" w:cs="Times New Roman" w:eastAsia="Times New Roman" w:hAnsi="Times New Roman"/>
          <w:color w:val="1A1A1A"/>
          <w:sz w:val="22"/>
          <w:szCs w:val="22"/>
        </w:rPr>
        <w:t xml:space="preserve">Because of this gap, the </w:t>
      </w:r>
      <w:r>
        <w:rPr>
          <w:rFonts w:ascii="Times New Roman" w:cs="Times New Roman" w:eastAsia="Times New Roman" w:hAnsi="Times New Roman"/>
          <w:b/>
          <w:bCs/>
          <w:color w:val="1A1A1A"/>
          <w:sz w:val="22"/>
          <w:szCs w:val="22"/>
        </w:rPr>
        <w:t xml:space="preserve">primary / value-generating processes (retting, de-fibring, pith buffering) are carried out in Pollachi</w:t>
      </w:r>
      <w:r>
        <w:rPr>
          <w:rFonts w:ascii="Times New Roman" w:cs="Times New Roman" w:eastAsia="Times New Roman" w:hAnsi="Times New Roman"/>
          <w:color w:val="1A1A1A"/>
          <w:sz w:val="22"/>
          <w:szCs w:val="22"/>
        </w:rPr>
        <w:t xml:space="preserve">, while Kerala is left with only downstream value-addition. Coir entrepreneurs — including many from Kerala — have set up their primary units in Tamil Nadu, taking with them the investment, the employment, and the value of </w:t>
      </w:r>
      <w:r>
        <w:rPr>
          <w:rFonts w:ascii="Times New Roman" w:cs="Times New Roman" w:eastAsia="Times New Roman" w:hAnsi="Times New Roman"/>
          <w:b/>
          <w:bCs/>
          <w:color w:val="1A1A1A"/>
          <w:sz w:val="22"/>
          <w:szCs w:val="22"/>
        </w:rPr>
        <w:t xml:space="preserve">our own coconut husk</w:t>
      </w:r>
      <w:r>
        <w:rPr>
          <w:rFonts w:ascii="Times New Roman" w:cs="Times New Roman" w:eastAsia="Times New Roman" w:hAnsi="Times New Roman"/>
          <w:color w:val="1A1A1A"/>
          <w:sz w:val="22"/>
          <w:szCs w:val="22"/>
        </w:rPr>
        <w:t xml:space="preserve">. A narrow, defensible re-alignment of two categories would let that value be retained in Chittur, generating local rural and women's employment in a classic agro-based cottage sector.</w:t>
      </w:r>
    </w:p>
    <w:p>
      <w:pPr>
        <w:pStyle w:val="Heading1"/>
        <w:spacing w:after="100" w:before="220"/>
      </w:pPr>
      <w:r>
        <w:rPr>
          <w:rFonts w:ascii="Times New Roman" w:cs="Times New Roman" w:eastAsia="Times New Roman" w:hAnsi="Times New Roman"/>
          <w:b/>
          <w:bCs/>
          <w:color w:val="0B3D0B"/>
          <w:sz w:val="24"/>
          <w:szCs w:val="24"/>
        </w:rPr>
        <w:t xml:space="preserve">6.  Our prayer</w:t>
      </w:r>
    </w:p>
    <w:p>
      <w:pPr>
        <w:spacing w:after="120" w:line="276"/>
      </w:pPr>
      <w:r>
        <w:rPr>
          <w:rFonts w:ascii="Times New Roman" w:cs="Times New Roman" w:eastAsia="Times New Roman" w:hAnsi="Times New Roman"/>
          <w:color w:val="1A1A1A"/>
          <w:sz w:val="22"/>
          <w:szCs w:val="22"/>
        </w:rPr>
        <w:t xml:space="preserve">We humbly request the Hon'ble Minister, in coordination with the Coir portfolio and the Kerala State Pollution Control Board, to:</w:t>
      </w:r>
    </w:p>
    <w:p>
      <w:pPr>
        <w:pStyle w:val="ListParagraph"/>
        <w:numPr>
          <w:ilvl w:val="0"/>
          <w:numId w:val="3"/>
        </w:numPr>
        <w:spacing w:after="100" w:line="276"/>
      </w:pPr>
      <w:r>
        <w:rPr>
          <w:rFonts w:ascii="Times New Roman" w:cs="Times New Roman" w:eastAsia="Times New Roman" w:hAnsi="Times New Roman"/>
          <w:b/>
          <w:bCs/>
          <w:color w:val="1A1A1A"/>
          <w:sz w:val="22"/>
          <w:szCs w:val="22"/>
        </w:rPr>
        <w:t xml:space="preserve">Re-align the two bottleneck categories. </w:t>
      </w:r>
      <w:r>
        <w:rPr>
          <w:rFonts w:ascii="Times New Roman" w:cs="Times New Roman" w:eastAsia="Times New Roman" w:hAnsi="Times New Roman"/>
          <w:color w:val="1A1A1A"/>
          <w:sz w:val="22"/>
          <w:szCs w:val="22"/>
        </w:rPr>
        <w:t xml:space="preserve">Reclassify </w:t>
      </w:r>
      <w:r>
        <w:rPr>
          <w:rFonts w:ascii="Times New Roman" w:cs="Times New Roman" w:eastAsia="Times New Roman" w:hAnsi="Times New Roman"/>
          <w:b/>
          <w:bCs/>
          <w:color w:val="1A1A1A"/>
          <w:sz w:val="22"/>
          <w:szCs w:val="22"/>
        </w:rPr>
        <w:t xml:space="preserve">coir de-fibring / ginning from Orange to White</w:t>
      </w:r>
      <w:r>
        <w:rPr>
          <w:rFonts w:ascii="Times New Roman" w:cs="Times New Roman" w:eastAsia="Times New Roman" w:hAnsi="Times New Roman"/>
          <w:color w:val="1A1A1A"/>
          <w:sz w:val="22"/>
          <w:szCs w:val="22"/>
        </w:rPr>
        <w:t xml:space="preserve"> (a dry mechanical process, as Tamil Nadu treats it), and reduce </w:t>
      </w:r>
      <w:r>
        <w:rPr>
          <w:rFonts w:ascii="Times New Roman" w:cs="Times New Roman" w:eastAsia="Times New Roman" w:hAnsi="Times New Roman"/>
          <w:b/>
          <w:bCs/>
          <w:color w:val="1A1A1A"/>
          <w:sz w:val="22"/>
          <w:szCs w:val="22"/>
        </w:rPr>
        <w:t xml:space="preserve">coconut-husk retting from Red to Green</w:t>
      </w:r>
      <w:r>
        <w:rPr>
          <w:rFonts w:ascii="Times New Roman" w:cs="Times New Roman" w:eastAsia="Times New Roman" w:hAnsi="Times New Roman"/>
          <w:color w:val="1A1A1A"/>
          <w:sz w:val="22"/>
          <w:szCs w:val="22"/>
        </w:rPr>
        <w:t xml:space="preserve"> with mandatory Zero-Liquid-Discharge / common effluent safeguards — consistent with the CPCB PI methodology and with TNPCB's White treatment. Bleaching / dyeing / stencilling (which involve chemicals and effluent) may continue to be regulated in the Orange category.</w:t>
      </w:r>
    </w:p>
    <w:p>
      <w:pPr>
        <w:pStyle w:val="ListParagraph"/>
        <w:numPr>
          <w:ilvl w:val="0"/>
          <w:numId w:val="3"/>
        </w:numPr>
        <w:spacing w:after="100" w:line="276"/>
      </w:pPr>
      <w:r>
        <w:rPr>
          <w:rFonts w:ascii="Times New Roman" w:cs="Times New Roman" w:eastAsia="Times New Roman" w:hAnsi="Times New Roman"/>
          <w:b/>
          <w:bCs/>
          <w:color w:val="1A1A1A"/>
          <w:sz w:val="22"/>
          <w:szCs w:val="22"/>
        </w:rPr>
        <w:t xml:space="preserve">Grant special coir-cluster / coir industrial-zone status for Chittur, </w:t>
      </w:r>
      <w:r>
        <w:rPr>
          <w:rFonts w:ascii="Times New Roman" w:cs="Times New Roman" w:eastAsia="Times New Roman" w:hAnsi="Times New Roman"/>
          <w:color w:val="1A1A1A"/>
          <w:sz w:val="22"/>
          <w:szCs w:val="22"/>
        </w:rPr>
        <w:t xml:space="preserve">with a Special Purpose Vehicle and a </w:t>
      </w:r>
      <w:r>
        <w:rPr>
          <w:rFonts w:ascii="Times New Roman" w:cs="Times New Roman" w:eastAsia="Times New Roman" w:hAnsi="Times New Roman"/>
          <w:b/>
          <w:bCs/>
          <w:color w:val="1A1A1A"/>
          <w:sz w:val="22"/>
          <w:szCs w:val="22"/>
        </w:rPr>
        <w:t xml:space="preserve">Common Facility Centre</w:t>
      </w:r>
      <w:r>
        <w:rPr>
          <w:rFonts w:ascii="Times New Roman" w:cs="Times New Roman" w:eastAsia="Times New Roman" w:hAnsi="Times New Roman"/>
          <w:color w:val="1A1A1A"/>
          <w:sz w:val="22"/>
          <w:szCs w:val="22"/>
        </w:rPr>
        <w:t xml:space="preserve"> (mechanised de-fibring, pith washing / block-making with Zero-Liquid-Discharge and salinity management), so that environmental concerns are addressed collectively and cost-effectively.</w:t>
      </w:r>
    </w:p>
    <w:p>
      <w:pPr>
        <w:pStyle w:val="ListParagraph"/>
        <w:numPr>
          <w:ilvl w:val="0"/>
          <w:numId w:val="3"/>
        </w:numPr>
        <w:spacing w:after="100" w:line="276"/>
      </w:pPr>
      <w:r>
        <w:rPr>
          <w:rFonts w:ascii="Times New Roman" w:cs="Times New Roman" w:eastAsia="Times New Roman" w:hAnsi="Times New Roman"/>
          <w:b/>
          <w:bCs/>
          <w:color w:val="1A1A1A"/>
          <w:sz w:val="22"/>
          <w:szCs w:val="22"/>
        </w:rPr>
        <w:t xml:space="preserve">Extend fiscal incentives — </w:t>
      </w:r>
      <w:r>
        <w:rPr>
          <w:rFonts w:ascii="Times New Roman" w:cs="Times New Roman" w:eastAsia="Times New Roman" w:hAnsi="Times New Roman"/>
          <w:color w:val="1A1A1A"/>
          <w:sz w:val="22"/>
          <w:szCs w:val="22"/>
        </w:rPr>
        <w:t xml:space="preserve">capital subsidy, interest subvention, and </w:t>
      </w:r>
      <w:r>
        <w:rPr>
          <w:rFonts w:ascii="Times New Roman" w:cs="Times New Roman" w:eastAsia="Times New Roman" w:hAnsi="Times New Roman"/>
          <w:b/>
          <w:bCs/>
          <w:color w:val="1A1A1A"/>
          <w:sz w:val="22"/>
          <w:szCs w:val="22"/>
        </w:rPr>
        <w:t xml:space="preserve">power-tariff parity with Tamil Nadu</w:t>
      </w:r>
      <w:r>
        <w:rPr>
          <w:rFonts w:ascii="Times New Roman" w:cs="Times New Roman" w:eastAsia="Times New Roman" w:hAnsi="Times New Roman"/>
          <w:color w:val="1A1A1A"/>
          <w:sz w:val="22"/>
          <w:szCs w:val="22"/>
        </w:rPr>
        <w:t xml:space="preserve"> — to attract coir units to Chittur.</w:t>
      </w:r>
    </w:p>
    <w:p>
      <w:pPr>
        <w:pStyle w:val="ListParagraph"/>
        <w:numPr>
          <w:ilvl w:val="0"/>
          <w:numId w:val="3"/>
        </w:numPr>
        <w:spacing w:after="100" w:line="276"/>
      </w:pPr>
      <w:r>
        <w:rPr>
          <w:rFonts w:ascii="Times New Roman" w:cs="Times New Roman" w:eastAsia="Times New Roman" w:hAnsi="Times New Roman"/>
          <w:b/>
          <w:bCs/>
          <w:color w:val="1A1A1A"/>
          <w:sz w:val="22"/>
          <w:szCs w:val="22"/>
        </w:rPr>
        <w:t xml:space="preserve">Ensure a level playing field with Pollachi, </w:t>
      </w:r>
      <w:r>
        <w:rPr>
          <w:rFonts w:ascii="Times New Roman" w:cs="Times New Roman" w:eastAsia="Times New Roman" w:hAnsi="Times New Roman"/>
          <w:color w:val="1A1A1A"/>
          <w:sz w:val="22"/>
          <w:szCs w:val="22"/>
        </w:rPr>
        <w:t xml:space="preserve">so that the value addition to Kerala's own coconut husk is retained within Kerala.</w:t>
      </w:r>
    </w:p>
    <w:p>
      <w:pPr>
        <w:pStyle w:val="Heading1"/>
        <w:spacing w:after="100" w:before="220"/>
      </w:pPr>
      <w:r>
        <w:rPr>
          <w:rFonts w:ascii="Times New Roman" w:cs="Times New Roman" w:eastAsia="Times New Roman" w:hAnsi="Times New Roman"/>
          <w:b/>
          <w:bCs/>
          <w:color w:val="0B3D0B"/>
          <w:sz w:val="24"/>
          <w:szCs w:val="24"/>
        </w:rPr>
        <w:t xml:space="preserve">7.  Annexures</w:t>
      </w:r>
    </w:p>
    <w:p>
      <w:pPr>
        <w:pStyle w:val="ListParagraph"/>
        <w:numPr>
          <w:ilvl w:val="0"/>
          <w:numId w:val="2"/>
        </w:numPr>
        <w:spacing w:after="80" w:line="268"/>
      </w:pPr>
      <w:r>
        <w:rPr>
          <w:rFonts w:ascii="Times New Roman" w:cs="Times New Roman" w:eastAsia="Times New Roman" w:hAnsi="Times New Roman"/>
          <w:b/>
          <w:bCs/>
          <w:color w:val="1A1A1A"/>
          <w:sz w:val="22"/>
          <w:szCs w:val="22"/>
        </w:rPr>
        <w:t xml:space="preserve">Annexure A — </w:t>
      </w:r>
      <w:r>
        <w:rPr>
          <w:rFonts w:ascii="Times New Roman" w:cs="Times New Roman" w:eastAsia="Times New Roman" w:hAnsi="Times New Roman"/>
          <w:color w:val="1A1A1A"/>
          <w:sz w:val="22"/>
          <w:szCs w:val="22"/>
        </w:rPr>
        <w:t xml:space="preserve">KSPCB current classification of coir processes (December 2025).</w:t>
      </w:r>
    </w:p>
    <w:p>
      <w:pPr>
        <w:pStyle w:val="ListParagraph"/>
        <w:numPr>
          <w:ilvl w:val="0"/>
          <w:numId w:val="2"/>
        </w:numPr>
        <w:spacing w:after="80" w:line="268"/>
      </w:pPr>
      <w:r>
        <w:rPr>
          <w:rFonts w:ascii="Times New Roman" w:cs="Times New Roman" w:eastAsia="Times New Roman" w:hAnsi="Times New Roman"/>
          <w:b/>
          <w:bCs/>
          <w:color w:val="1A1A1A"/>
          <w:sz w:val="22"/>
          <w:szCs w:val="22"/>
        </w:rPr>
        <w:t xml:space="preserve">Annexure B — </w:t>
      </w:r>
      <w:r>
        <w:rPr>
          <w:rFonts w:ascii="Times New Roman" w:cs="Times New Roman" w:eastAsia="Times New Roman" w:hAnsi="Times New Roman"/>
          <w:color w:val="1A1A1A"/>
          <w:sz w:val="22"/>
          <w:szCs w:val="22"/>
        </w:rPr>
        <w:t xml:space="preserve">TNPCB: coir retained in the White category — the 10-11-2021 Orange reclassification and its withdrawal on 12-10-2023.</w:t>
      </w:r>
    </w:p>
    <w:p>
      <w:pPr>
        <w:pStyle w:val="ListParagraph"/>
        <w:numPr>
          <w:ilvl w:val="0"/>
          <w:numId w:val="2"/>
        </w:numPr>
        <w:spacing w:after="80" w:line="268"/>
      </w:pPr>
      <w:r>
        <w:rPr>
          <w:rFonts w:ascii="Times New Roman" w:cs="Times New Roman" w:eastAsia="Times New Roman" w:hAnsi="Times New Roman"/>
          <w:b/>
          <w:bCs/>
          <w:color w:val="1A1A1A"/>
          <w:sz w:val="22"/>
          <w:szCs w:val="22"/>
        </w:rPr>
        <w:t xml:space="preserve">Annexure C — </w:t>
      </w:r>
      <w:r>
        <w:rPr>
          <w:rFonts w:ascii="Times New Roman" w:cs="Times New Roman" w:eastAsia="Times New Roman" w:hAnsi="Times New Roman"/>
          <w:color w:val="1A1A1A"/>
          <w:sz w:val="22"/>
          <w:szCs w:val="22"/>
        </w:rPr>
        <w:t xml:space="preserve">Model draft Government Order for the Government's consideration.</w:t>
      </w:r>
    </w:p>
    <w:p>
      <w:pPr>
        <w:spacing w:after="60" w:before="220"/>
      </w:pPr>
      <w:r>
        <w:rPr>
          <w:rFonts w:ascii="Times New Roman" w:cs="Times New Roman" w:eastAsia="Times New Roman" w:hAnsi="Times New Roman"/>
          <w:color w:val="1A1A1A"/>
          <w:sz w:val="22"/>
          <w:szCs w:val="22"/>
        </w:rPr>
        <w:t xml:space="preserve">Respectfully submitted,</w:t>
      </w:r>
    </w:p>
    <w:p>
      <w:pPr>
        <w:spacing w:after="220"/>
      </w:pPr>
      <w:r>
        <w:rPr>
          <w:rFonts w:ascii="Times New Roman" w:cs="Times New Roman" w:eastAsia="Times New Roman" w:hAnsi="Times New Roman"/>
          <w:color w:val="1A1A1A"/>
          <w:sz w:val="22"/>
          <w:szCs w:val="22"/>
        </w:rPr>
        <w:t xml:space="preserve">For and on behalf of the Chittur Agriculture Marketing Society, Kozhinjampara</w:t>
      </w:r>
    </w:p>
    <w:p>
      <w:pPr>
        <w:spacing w:after="20"/>
      </w:pPr>
      <w:r>
        <w:rPr>
          <w:rFonts w:ascii="Times New Roman" w:cs="Times New Roman" w:eastAsia="Times New Roman" w:hAnsi="Times New Roman"/>
          <w:color w:val="1A1A1A"/>
          <w:sz w:val="22"/>
          <w:szCs w:val="22"/>
        </w:rPr>
        <w:t xml:space="preserve">_________________________________</w:t>
      </w:r>
    </w:p>
    <w:p>
      <w:pPr>
        <w:spacing w:after="20"/>
      </w:pPr>
      <w:r>
        <w:rPr>
          <w:rFonts w:ascii="Times New Roman" w:cs="Times New Roman" w:eastAsia="Times New Roman" w:hAnsi="Times New Roman"/>
          <w:b/>
          <w:bCs/>
          <w:color w:val="1A1A1A"/>
          <w:sz w:val="22"/>
          <w:szCs w:val="22"/>
        </w:rPr>
        <w:t xml:space="preserve">[Name, Designation]</w:t>
      </w:r>
    </w:p>
    <w:p>
      <w:pPr>
        <w:spacing w:after="160"/>
      </w:pPr>
      <w:r>
        <w:rPr>
          <w:rFonts w:ascii="Times New Roman" w:cs="Times New Roman" w:eastAsia="Times New Roman" w:hAnsi="Times New Roman"/>
          <w:color w:val="1A1A1A"/>
          <w:sz w:val="22"/>
          <w:szCs w:val="22"/>
        </w:rPr>
        <w:t xml:space="preserve">[Phone / Email]</w:t>
      </w:r>
    </w:p>
    <w:p>
      <w:pPr>
        <w:spacing w:after="40"/>
      </w:pPr>
      <w:r>
        <w:rPr>
          <w:rFonts w:ascii="Times New Roman" w:cs="Times New Roman" w:eastAsia="Times New Roman" w:hAnsi="Times New Roman"/>
          <w:b/>
          <w:bCs/>
          <w:color w:val="1A1A1A"/>
          <w:sz w:val="22"/>
          <w:szCs w:val="22"/>
        </w:rPr>
        <w:t xml:space="preserve">Endorsed by:  </w:t>
      </w:r>
      <w:r>
        <w:rPr>
          <w:rFonts w:ascii="Times New Roman" w:cs="Times New Roman" w:eastAsia="Times New Roman" w:hAnsi="Times New Roman"/>
          <w:color w:val="1A1A1A"/>
          <w:sz w:val="22"/>
          <w:szCs w:val="22"/>
        </w:rPr>
        <w:t xml:space="preserve">Adv. Sumesh Achuthan, MLA, Chittur.</w:t>
      </w:r>
    </w:p>
    <w:p>
      <w:pPr>
        <w:pageBreakBefore/>
      </w:pPr>
      <w:r>
        <w:br/>
      </w:r>
    </w:p>
    <w:p>
      <w:pPr>
        <w:pStyle w:val="Heading1"/>
        <w:spacing w:after="120" w:before="160"/>
        <w:jc w:val="center"/>
      </w:pPr>
      <w:r>
        <w:rPr>
          <w:rFonts w:ascii="Times New Roman" w:cs="Times New Roman" w:eastAsia="Times New Roman" w:hAnsi="Times New Roman"/>
          <w:b/>
          <w:bCs/>
          <w:color w:val="0B3D0B"/>
          <w:sz w:val="24"/>
          <w:szCs w:val="24"/>
        </w:rPr>
        <w:t xml:space="preserve">ANNEXURE A</w:t>
      </w:r>
    </w:p>
    <w:p>
      <w:pPr>
        <w:spacing w:after="160"/>
        <w:jc w:val="center"/>
      </w:pPr>
      <w:r>
        <w:rPr>
          <w:rFonts w:ascii="Times New Roman" w:cs="Times New Roman" w:eastAsia="Times New Roman" w:hAnsi="Times New Roman"/>
          <w:b/>
          <w:bCs/>
          <w:color w:val="1A1A1A"/>
          <w:sz w:val="22"/>
          <w:szCs w:val="22"/>
        </w:rPr>
        <w:t xml:space="preserve">KSPCB classification of coir processes — current list (December 2025)</w:t>
      </w:r>
    </w:p>
    <w:p>
      <w:pPr>
        <w:spacing w:after="120" w:line="276"/>
      </w:pPr>
      <w:r>
        <w:rPr>
          <w:rFonts w:ascii="Times New Roman" w:cs="Times New Roman" w:eastAsia="Times New Roman" w:hAnsi="Times New Roman"/>
          <w:i/>
          <w:iCs/>
          <w:color w:val="555555"/>
          <w:sz w:val="20"/>
          <w:szCs w:val="20"/>
        </w:rPr>
        <w:t xml:space="preserve">Transcribed from the Kerala State Pollution Control Board's current classification of industrial sectors. The source list is to be annexed to this petition in original.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5638"/>
        <w:gridCol w:w="2000"/>
      </w:tblGrid>
      <w:tr>
        <w:trPr>
          <w:tblHeader/>
        </w:trPr>
        <w:tc>
          <w:tcPr>
            <w:tcW w:type="dxa" w:w="2000"/>
            <w:shd w:fill="E9EFE9" w:color="auto" w:val="clear"/>
            <w:tcMar>
              <w:top w:type="dxa" w:w="60"/>
              <w:left w:type="dxa" w:w="100"/>
              <w:bottom w:type="dxa" w:w="60"/>
              <w:right w:type="dxa" w:w="100"/>
            </w:tcMar>
          </w:tcPr>
          <w:p>
            <w:pPr>
              <w:spacing w:after="40" w:line="252"/>
              <w:jc w:val="center"/>
            </w:pPr>
            <w:r>
              <w:rPr>
                <w:rFonts w:ascii="Times New Roman" w:cs="Times New Roman" w:eastAsia="Times New Roman" w:hAnsi="Times New Roman"/>
                <w:b/>
                <w:bCs/>
                <w:color w:val="222222"/>
                <w:sz w:val="20"/>
                <w:szCs w:val="20"/>
              </w:rPr>
              <w:t xml:space="preserve">Category</w:t>
            </w:r>
          </w:p>
        </w:tc>
        <w:tc>
          <w:tcPr>
            <w:tcW w:type="dxa" w:w="5638"/>
            <w:shd w:fill="E9EFE9" w:color="auto" w:val="clear"/>
            <w:tcMar>
              <w:top w:type="dxa" w:w="60"/>
              <w:left w:type="dxa" w:w="100"/>
              <w:bottom w:type="dxa" w:w="60"/>
              <w:right w:type="dxa" w:w="100"/>
            </w:tcMar>
          </w:tcPr>
          <w:p>
            <w:pPr>
              <w:spacing w:after="40" w:line="252"/>
              <w:jc w:val="left"/>
            </w:pPr>
            <w:r>
              <w:rPr>
                <w:rFonts w:ascii="Times New Roman" w:cs="Times New Roman" w:eastAsia="Times New Roman" w:hAnsi="Times New Roman"/>
                <w:b/>
                <w:bCs/>
                <w:color w:val="222222"/>
                <w:sz w:val="20"/>
                <w:szCs w:val="20"/>
              </w:rPr>
              <w:t xml:space="preserve">Coir activity</w:t>
            </w:r>
          </w:p>
        </w:tc>
        <w:tc>
          <w:tcPr>
            <w:tcW w:type="dxa" w:w="2000"/>
            <w:shd w:fill="E9EFE9" w:color="auto" w:val="clear"/>
            <w:tcMar>
              <w:top w:type="dxa" w:w="60"/>
              <w:left w:type="dxa" w:w="100"/>
              <w:bottom w:type="dxa" w:w="60"/>
              <w:right w:type="dxa" w:w="100"/>
            </w:tcMar>
          </w:tcPr>
          <w:p>
            <w:pPr>
              <w:spacing w:after="40" w:line="252"/>
              <w:jc w:val="left"/>
            </w:pPr>
            <w:r>
              <w:rPr>
                <w:rFonts w:ascii="Times New Roman" w:cs="Times New Roman" w:eastAsia="Times New Roman" w:hAnsi="Times New Roman"/>
                <w:b/>
                <w:bCs/>
                <w:color w:val="222222"/>
                <w:sz w:val="20"/>
                <w:szCs w:val="20"/>
              </w:rPr>
              <w:t xml:space="preserve">Consent regime</w:t>
            </w:r>
          </w:p>
        </w:tc>
      </w:tr>
      <w:tr>
        <w:tc>
          <w:tcPr>
            <w:tcW w:type="dxa" w:w="2000"/>
            <w:tcMar>
              <w:top w:type="dxa" w:w="60"/>
              <w:left w:type="dxa" w:w="100"/>
              <w:bottom w:type="dxa" w:w="60"/>
              <w:right w:type="dxa" w:w="100"/>
            </w:tcMar>
          </w:tcPr>
          <w:p>
            <w:pPr>
              <w:spacing w:after="40" w:line="252"/>
            </w:pPr>
            <w:r>
              <w:rPr>
                <w:rFonts w:ascii="Times New Roman" w:cs="Times New Roman" w:eastAsia="Times New Roman" w:hAnsi="Times New Roman"/>
                <w:b/>
                <w:bCs/>
                <w:color w:val="C0392B"/>
                <w:sz w:val="20"/>
                <w:szCs w:val="20"/>
              </w:rPr>
              <w:t xml:space="preserve">RED</w:t>
            </w:r>
          </w:p>
        </w:tc>
        <w:tc>
          <w:tcPr>
            <w:tcW w:type="dxa" w:w="5638"/>
            <w:tcMar>
              <w:top w:type="dxa" w:w="60"/>
              <w:left w:type="dxa" w:w="100"/>
              <w:bottom w:type="dxa" w:w="60"/>
              <w:right w:type="dxa" w:w="100"/>
            </w:tcMar>
          </w:tcPr>
          <w:p>
            <w:pPr>
              <w:spacing w:after="40" w:line="252"/>
              <w:jc w:val="left"/>
            </w:pPr>
            <w:r>
              <w:rPr>
                <w:rFonts w:ascii="Times New Roman" w:cs="Times New Roman" w:eastAsia="Times New Roman" w:hAnsi="Times New Roman"/>
                <w:b w:val="false"/>
                <w:bCs w:val="false"/>
                <w:color w:val="1A1A1A"/>
                <w:sz w:val="20"/>
                <w:szCs w:val="20"/>
              </w:rPr>
              <w:t xml:space="preserve">Coconut-husk retting</w:t>
            </w:r>
          </w:p>
        </w:tc>
        <w:tc>
          <w:tcPr>
            <w:tcW w:type="dxa" w:w="2000"/>
            <w:tcMar>
              <w:top w:type="dxa" w:w="60"/>
              <w:left w:type="dxa" w:w="100"/>
              <w:bottom w:type="dxa" w:w="60"/>
              <w:right w:type="dxa" w:w="100"/>
            </w:tcMar>
          </w:tcPr>
          <w:p>
            <w:pPr>
              <w:spacing w:after="40" w:line="252"/>
              <w:jc w:val="left"/>
            </w:pPr>
            <w:r>
              <w:rPr>
                <w:rFonts w:ascii="Times New Roman" w:cs="Times New Roman" w:eastAsia="Times New Roman" w:hAnsi="Times New Roman"/>
                <w:b w:val="false"/>
                <w:bCs w:val="false"/>
                <w:color w:val="1A1A1A"/>
                <w:sz w:val="20"/>
                <w:szCs w:val="20"/>
              </w:rPr>
              <w:t xml:space="preserve">CTE + CTO; public-hearing-tier possible</w:t>
            </w:r>
          </w:p>
        </w:tc>
      </w:tr>
      <w:tr>
        <w:tc>
          <w:tcPr>
            <w:tcW w:type="dxa" w:w="2000"/>
            <w:tcMar>
              <w:top w:type="dxa" w:w="60"/>
              <w:left w:type="dxa" w:w="100"/>
              <w:bottom w:type="dxa" w:w="60"/>
              <w:right w:type="dxa" w:w="100"/>
            </w:tcMar>
          </w:tcPr>
          <w:p>
            <w:pPr>
              <w:spacing w:after="40" w:line="252"/>
            </w:pPr>
            <w:r>
              <w:rPr>
                <w:rFonts w:ascii="Times New Roman" w:cs="Times New Roman" w:eastAsia="Times New Roman" w:hAnsi="Times New Roman"/>
                <w:b/>
                <w:bCs/>
                <w:color w:val="C87A00"/>
                <w:sz w:val="20"/>
                <w:szCs w:val="20"/>
              </w:rPr>
              <w:t xml:space="preserve">ORANGE</w:t>
            </w:r>
          </w:p>
        </w:tc>
        <w:tc>
          <w:tcPr>
            <w:tcW w:type="dxa" w:w="5638"/>
            <w:tcMar>
              <w:top w:type="dxa" w:w="60"/>
              <w:left w:type="dxa" w:w="100"/>
              <w:bottom w:type="dxa" w:w="60"/>
              <w:right w:type="dxa" w:w="100"/>
            </w:tcMar>
          </w:tcPr>
          <w:p>
            <w:pPr>
              <w:spacing w:after="40" w:line="252"/>
              <w:jc w:val="left"/>
            </w:pPr>
            <w:r>
              <w:rPr>
                <w:rFonts w:ascii="Times New Roman" w:cs="Times New Roman" w:eastAsia="Times New Roman" w:hAnsi="Times New Roman"/>
                <w:b w:val="false"/>
                <w:bCs w:val="false"/>
                <w:color w:val="1A1A1A"/>
                <w:sz w:val="20"/>
                <w:szCs w:val="20"/>
              </w:rPr>
              <w:t xml:space="preserve">Coir de-fibring / ginning; coir stencilling; coir bleaching / dyeing</w:t>
            </w:r>
          </w:p>
        </w:tc>
        <w:tc>
          <w:tcPr>
            <w:tcW w:type="dxa" w:w="2000"/>
            <w:tcMar>
              <w:top w:type="dxa" w:w="60"/>
              <w:left w:type="dxa" w:w="100"/>
              <w:bottom w:type="dxa" w:w="60"/>
              <w:right w:type="dxa" w:w="100"/>
            </w:tcMar>
          </w:tcPr>
          <w:p>
            <w:pPr>
              <w:spacing w:after="40" w:line="252"/>
              <w:jc w:val="left"/>
            </w:pPr>
            <w:r>
              <w:rPr>
                <w:rFonts w:ascii="Times New Roman" w:cs="Times New Roman" w:eastAsia="Times New Roman" w:hAnsi="Times New Roman"/>
                <w:b w:val="false"/>
                <w:bCs w:val="false"/>
                <w:color w:val="1A1A1A"/>
                <w:sz w:val="20"/>
                <w:szCs w:val="20"/>
              </w:rPr>
              <w:t xml:space="preserve">CTE + CTO; periodic monitoring</w:t>
            </w:r>
          </w:p>
        </w:tc>
      </w:tr>
      <w:tr>
        <w:tc>
          <w:tcPr>
            <w:tcW w:type="dxa" w:w="2000"/>
            <w:tcMar>
              <w:top w:type="dxa" w:w="60"/>
              <w:left w:type="dxa" w:w="100"/>
              <w:bottom w:type="dxa" w:w="60"/>
              <w:right w:type="dxa" w:w="100"/>
            </w:tcMar>
          </w:tcPr>
          <w:p>
            <w:pPr>
              <w:spacing w:after="40" w:line="252"/>
            </w:pPr>
            <w:r>
              <w:rPr>
                <w:rFonts w:ascii="Times New Roman" w:cs="Times New Roman" w:eastAsia="Times New Roman" w:hAnsi="Times New Roman"/>
                <w:b/>
                <w:bCs/>
                <w:color w:val="1E7D1E"/>
                <w:sz w:val="20"/>
                <w:szCs w:val="20"/>
              </w:rPr>
              <w:t xml:space="preserve">GREEN</w:t>
            </w:r>
          </w:p>
        </w:tc>
        <w:tc>
          <w:tcPr>
            <w:tcW w:type="dxa" w:w="5638"/>
            <w:tcMar>
              <w:top w:type="dxa" w:w="60"/>
              <w:left w:type="dxa" w:w="100"/>
              <w:bottom w:type="dxa" w:w="60"/>
              <w:right w:type="dxa" w:w="100"/>
            </w:tcMar>
          </w:tcPr>
          <w:p>
            <w:pPr>
              <w:spacing w:after="40" w:line="252"/>
              <w:jc w:val="left"/>
            </w:pPr>
            <w:r>
              <w:rPr>
                <w:rFonts w:ascii="Times New Roman" w:cs="Times New Roman" w:eastAsia="Times New Roman" w:hAnsi="Times New Roman"/>
                <w:b w:val="false"/>
                <w:bCs w:val="false"/>
                <w:color w:val="1A1A1A"/>
                <w:sz w:val="20"/>
                <w:szCs w:val="20"/>
              </w:rPr>
              <w:t xml:space="preserve">Coir fibre / pith processing generating effluent</w:t>
            </w:r>
          </w:p>
        </w:tc>
        <w:tc>
          <w:tcPr>
            <w:tcW w:type="dxa" w:w="2000"/>
            <w:tcMar>
              <w:top w:type="dxa" w:w="60"/>
              <w:left w:type="dxa" w:w="100"/>
              <w:bottom w:type="dxa" w:w="60"/>
              <w:right w:type="dxa" w:w="100"/>
            </w:tcMar>
          </w:tcPr>
          <w:p>
            <w:pPr>
              <w:spacing w:after="40" w:line="252"/>
              <w:jc w:val="left"/>
            </w:pPr>
            <w:r>
              <w:rPr>
                <w:rFonts w:ascii="Times New Roman" w:cs="Times New Roman" w:eastAsia="Times New Roman" w:hAnsi="Times New Roman"/>
                <w:b w:val="false"/>
                <w:bCs w:val="false"/>
                <w:color w:val="1A1A1A"/>
                <w:sz w:val="20"/>
                <w:szCs w:val="20"/>
              </w:rPr>
              <w:t xml:space="preserve">Simplified consent</w:t>
            </w:r>
          </w:p>
        </w:tc>
      </w:tr>
      <w:tr>
        <w:tc>
          <w:tcPr>
            <w:tcW w:type="dxa" w:w="2000"/>
            <w:tcMar>
              <w:top w:type="dxa" w:w="60"/>
              <w:left w:type="dxa" w:w="100"/>
              <w:bottom w:type="dxa" w:w="60"/>
              <w:right w:type="dxa" w:w="100"/>
            </w:tcMar>
          </w:tcPr>
          <w:p>
            <w:pPr>
              <w:spacing w:after="40" w:line="252"/>
            </w:pPr>
            <w:r>
              <w:rPr>
                <w:rFonts w:ascii="Times New Roman" w:cs="Times New Roman" w:eastAsia="Times New Roman" w:hAnsi="Times New Roman"/>
                <w:b/>
                <w:bCs/>
                <w:color w:val="444444"/>
                <w:sz w:val="20"/>
                <w:szCs w:val="20"/>
              </w:rPr>
              <w:t xml:space="preserve">WHITE</w:t>
            </w:r>
          </w:p>
        </w:tc>
        <w:tc>
          <w:tcPr>
            <w:tcW w:type="dxa" w:w="5638"/>
            <w:tcMar>
              <w:top w:type="dxa" w:w="60"/>
              <w:left w:type="dxa" w:w="100"/>
              <w:bottom w:type="dxa" w:w="60"/>
              <w:right w:type="dxa" w:w="100"/>
            </w:tcMar>
          </w:tcPr>
          <w:p>
            <w:pPr>
              <w:spacing w:after="40" w:line="252"/>
              <w:jc w:val="left"/>
            </w:pPr>
            <w:r>
              <w:rPr>
                <w:rFonts w:ascii="Times New Roman" w:cs="Times New Roman" w:eastAsia="Times New Roman" w:hAnsi="Times New Roman"/>
                <w:b w:val="false"/>
                <w:bCs w:val="false"/>
                <w:color w:val="1A1A1A"/>
                <w:sz w:val="20"/>
                <w:szCs w:val="20"/>
              </w:rPr>
              <w:t xml:space="preserve">Dry coir processing / coir products without effluent; coir yarn without dyeing; coir-pith final product; coir rope; curled coir</w:t>
            </w:r>
          </w:p>
        </w:tc>
        <w:tc>
          <w:tcPr>
            <w:tcW w:type="dxa" w:w="2000"/>
            <w:tcMar>
              <w:top w:type="dxa" w:w="60"/>
              <w:left w:type="dxa" w:w="100"/>
              <w:bottom w:type="dxa" w:w="60"/>
              <w:right w:type="dxa" w:w="100"/>
            </w:tcMar>
          </w:tcPr>
          <w:p>
            <w:pPr>
              <w:spacing w:after="40" w:line="252"/>
              <w:jc w:val="left"/>
            </w:pPr>
            <w:r>
              <w:rPr>
                <w:rFonts w:ascii="Times New Roman" w:cs="Times New Roman" w:eastAsia="Times New Roman" w:hAnsi="Times New Roman"/>
                <w:b w:val="false"/>
                <w:bCs w:val="false"/>
                <w:color w:val="1A1A1A"/>
                <w:sz w:val="20"/>
                <w:szCs w:val="20"/>
              </w:rPr>
              <w:t xml:space="preserve">Intimation only (no CTO)</w:t>
            </w:r>
          </w:p>
        </w:tc>
      </w:tr>
    </w:tbl>
    <w:p>
      <w:pPr>
        <w:pageBreakBefore/>
      </w:pPr>
      <w:r>
        <w:br/>
      </w:r>
    </w:p>
    <w:p>
      <w:pPr>
        <w:pStyle w:val="Heading1"/>
        <w:spacing w:after="120" w:before="160"/>
        <w:jc w:val="center"/>
      </w:pPr>
      <w:r>
        <w:rPr>
          <w:rFonts w:ascii="Times New Roman" w:cs="Times New Roman" w:eastAsia="Times New Roman" w:hAnsi="Times New Roman"/>
          <w:b/>
          <w:bCs/>
          <w:color w:val="0B3D0B"/>
          <w:sz w:val="24"/>
          <w:szCs w:val="24"/>
        </w:rPr>
        <w:t xml:space="preserve">ANNEXURE B</w:t>
      </w:r>
    </w:p>
    <w:p>
      <w:pPr>
        <w:spacing w:after="160"/>
        <w:jc w:val="center"/>
      </w:pPr>
      <w:r>
        <w:rPr>
          <w:rFonts w:ascii="Times New Roman" w:cs="Times New Roman" w:eastAsia="Times New Roman" w:hAnsi="Times New Roman"/>
          <w:b/>
          <w:bCs/>
          <w:color w:val="1A1A1A"/>
          <w:sz w:val="22"/>
          <w:szCs w:val="22"/>
        </w:rPr>
        <w:t xml:space="preserve">TNPCB — coir industry retained in the White category</w:t>
      </w:r>
    </w:p>
    <w:p>
      <w:pPr>
        <w:spacing w:after="120" w:line="276"/>
      </w:pPr>
      <w:r>
        <w:rPr>
          <w:rFonts w:ascii="Times New Roman" w:cs="Times New Roman" w:eastAsia="Times New Roman" w:hAnsi="Times New Roman"/>
          <w:i/>
          <w:iCs/>
          <w:color w:val="555555"/>
          <w:sz w:val="20"/>
          <w:szCs w:val="20"/>
        </w:rPr>
        <w:t xml:space="preserve">Summary of the Tamil Nadu Pollution Control Board's position, with the operative dates and the text of its withdrawal order. Copies of the TNPCB proceedings / press release are to be annexed in original.</w:t>
      </w:r>
    </w:p>
    <w:p>
      <w:pPr>
        <w:pStyle w:val="ListParagraph"/>
        <w:numPr>
          <w:ilvl w:val="0"/>
          <w:numId w:val="2"/>
        </w:numPr>
        <w:spacing w:after="80" w:line="268"/>
      </w:pPr>
      <w:r>
        <w:rPr>
          <w:rFonts w:ascii="Times New Roman" w:cs="Times New Roman" w:eastAsia="Times New Roman" w:hAnsi="Times New Roman"/>
          <w:b/>
          <w:bCs/>
          <w:color w:val="1A1A1A"/>
          <w:sz w:val="22"/>
          <w:szCs w:val="22"/>
        </w:rPr>
        <w:t xml:space="preserve">Baseline position: </w:t>
      </w:r>
      <w:r>
        <w:rPr>
          <w:rFonts w:ascii="Times New Roman" w:cs="Times New Roman" w:eastAsia="Times New Roman" w:hAnsi="Times New Roman"/>
          <w:color w:val="1A1A1A"/>
          <w:sz w:val="22"/>
          <w:szCs w:val="22"/>
        </w:rPr>
        <w:t xml:space="preserve">Under the CPCB Pollution-Index norm (Red high, Orange/Green moderate, White non-polluting), the coconut-husk retting / de-fibering / pith-processing industry stands in the </w:t>
      </w:r>
      <w:r>
        <w:rPr>
          <w:rFonts w:ascii="Times New Roman" w:cs="Times New Roman" w:eastAsia="Times New Roman" w:hAnsi="Times New Roman"/>
          <w:b/>
          <w:bCs/>
          <w:color w:val="1A1A1A"/>
          <w:sz w:val="22"/>
          <w:szCs w:val="22"/>
        </w:rPr>
        <w:t xml:space="preserve">White</w:t>
      </w:r>
      <w:r>
        <w:rPr>
          <w:rFonts w:ascii="Times New Roman" w:cs="Times New Roman" w:eastAsia="Times New Roman" w:hAnsi="Times New Roman"/>
          <w:color w:val="1A1A1A"/>
          <w:sz w:val="22"/>
          <w:szCs w:val="22"/>
        </w:rPr>
        <w:t xml:space="preserve"> category in Tamil Nadu.</w:t>
      </w:r>
    </w:p>
    <w:p>
      <w:pPr>
        <w:pStyle w:val="ListParagraph"/>
        <w:numPr>
          <w:ilvl w:val="0"/>
          <w:numId w:val="2"/>
        </w:numPr>
        <w:spacing w:after="80" w:line="268"/>
      </w:pPr>
      <w:r>
        <w:rPr>
          <w:rFonts w:ascii="Times New Roman" w:cs="Times New Roman" w:eastAsia="Times New Roman" w:hAnsi="Times New Roman"/>
          <w:b/>
          <w:bCs/>
          <w:color w:val="1A1A1A"/>
          <w:sz w:val="22"/>
          <w:szCs w:val="22"/>
        </w:rPr>
        <w:t xml:space="preserve">Proceedings dated 10-11-2021: </w:t>
      </w:r>
      <w:r>
        <w:rPr>
          <w:rFonts w:ascii="Times New Roman" w:cs="Times New Roman" w:eastAsia="Times New Roman" w:hAnsi="Times New Roman"/>
          <w:color w:val="1A1A1A"/>
          <w:sz w:val="22"/>
          <w:szCs w:val="22"/>
        </w:rPr>
        <w:t xml:space="preserve">TNPCB reclassified the coir industry from White to Orange — moving it into the polluting category, requiring TNPCB approval to set up units and subjecting them to periodic monitoring — stated to be pursuant to directions of the environmental tribunal / courts.</w:t>
      </w:r>
    </w:p>
    <w:p>
      <w:pPr>
        <w:pStyle w:val="ListParagraph"/>
        <w:numPr>
          <w:ilvl w:val="0"/>
          <w:numId w:val="2"/>
        </w:numPr>
        <w:spacing w:after="80" w:line="268"/>
      </w:pPr>
      <w:r>
        <w:rPr>
          <w:rFonts w:ascii="Times New Roman" w:cs="Times New Roman" w:eastAsia="Times New Roman" w:hAnsi="Times New Roman"/>
          <w:b/>
          <w:bCs/>
          <w:color w:val="1A1A1A"/>
          <w:sz w:val="22"/>
          <w:szCs w:val="22"/>
        </w:rPr>
        <w:t xml:space="preserve">Withdrawal dated 12-10-2023: </w:t>
      </w:r>
      <w:r>
        <w:rPr>
          <w:rFonts w:ascii="Times New Roman" w:cs="Times New Roman" w:eastAsia="Times New Roman" w:hAnsi="Times New Roman"/>
          <w:color w:val="1A1A1A"/>
          <w:sz w:val="22"/>
          <w:szCs w:val="22"/>
        </w:rPr>
        <w:t xml:space="preserve">Following an enormous number of representations from various associations of coir exporters and manufacturers seeking protection of the coir sector and their livelihood, TNPCB withdrew the Orange reclassification. The operative reasoning recorded was:</w:t>
      </w:r>
    </w:p>
    <w:p>
      <w:pPr>
        <w:pBdr>
          <w:left w:val="single" w:color="808080" w:sz="12" w:space="8"/>
        </w:pBdr>
        <w:spacing w:after="120" w:before="40" w:line="276"/>
        <w:ind w:left="480" w:right="360"/>
      </w:pPr>
      <w:r>
        <w:rPr>
          <w:rFonts w:ascii="Times New Roman" w:cs="Times New Roman" w:eastAsia="Times New Roman" w:hAnsi="Times New Roman"/>
          <w:i/>
          <w:iCs/>
          <w:color w:val="333333"/>
          <w:sz w:val="21"/>
          <w:szCs w:val="21"/>
        </w:rPr>
        <w:t xml:space="preserve">“Considering the coir industry is one of the vital agro-based cottage-type industries in the State contributing significantly to the creation of livelihood in major coconut-growing districts and to encourage the cottage-type MSME sector for the production of eco-friendly products, TNPCB withdraws the proceeding regarding the categorisation of coconut husk retting / de-fibres / pith processing under the Orange category.”</w:t>
      </w:r>
    </w:p>
    <w:p>
      <w:pPr>
        <w:pStyle w:val="ListParagraph"/>
        <w:numPr>
          <w:ilvl w:val="0"/>
          <w:numId w:val="2"/>
        </w:numPr>
        <w:spacing w:after="80" w:line="268"/>
      </w:pPr>
      <w:r>
        <w:rPr>
          <w:rFonts w:ascii="Times New Roman" w:cs="Times New Roman" w:eastAsia="Times New Roman" w:hAnsi="Times New Roman"/>
          <w:b/>
          <w:bCs/>
          <w:color w:val="1A1A1A"/>
          <w:sz w:val="22"/>
          <w:szCs w:val="22"/>
        </w:rPr>
        <w:t xml:space="preserve">Effect: </w:t>
      </w:r>
      <w:r>
        <w:rPr>
          <w:rFonts w:ascii="Times New Roman" w:cs="Times New Roman" w:eastAsia="Times New Roman" w:hAnsi="Times New Roman"/>
          <w:color w:val="1A1A1A"/>
          <w:sz w:val="22"/>
          <w:szCs w:val="22"/>
        </w:rPr>
        <w:t xml:space="preserve">The coconut-husk retting / de-fibring / pith-processing industry </w:t>
      </w:r>
      <w:r>
        <w:rPr>
          <w:rFonts w:ascii="Times New Roman" w:cs="Times New Roman" w:eastAsia="Times New Roman" w:hAnsi="Times New Roman"/>
          <w:b/>
          <w:bCs/>
          <w:color w:val="1A1A1A"/>
          <w:sz w:val="22"/>
          <w:szCs w:val="22"/>
        </w:rPr>
        <w:t xml:space="preserve">remains in the White category in Tamil Nadu</w:t>
      </w:r>
      <w:r>
        <w:rPr>
          <w:rFonts w:ascii="Times New Roman" w:cs="Times New Roman" w:eastAsia="Times New Roman" w:hAnsi="Times New Roman"/>
          <w:color w:val="1A1A1A"/>
          <w:sz w:val="22"/>
          <w:szCs w:val="22"/>
        </w:rPr>
        <w:t xml:space="preserve">, relieving these cottage/MSME units of Consent-to-Operate and monitoring burdens.</w:t>
      </w:r>
    </w:p>
    <w:p>
      <w:pPr>
        <w:spacing w:after="120" w:line="276"/>
      </w:pPr>
      <w:r>
        <w:rPr>
          <w:rFonts w:ascii="Times New Roman" w:cs="Times New Roman" w:eastAsia="Times New Roman" w:hAnsi="Times New Roman"/>
          <w:b/>
          <w:bCs/>
          <w:color w:val="1A1A1A"/>
          <w:sz w:val="22"/>
          <w:szCs w:val="22"/>
        </w:rPr>
        <w:t xml:space="preserve">Relevance to this petition: </w:t>
      </w:r>
      <w:r>
        <w:rPr>
          <w:rFonts w:ascii="Times New Roman" w:cs="Times New Roman" w:eastAsia="Times New Roman" w:hAnsi="Times New Roman"/>
          <w:color w:val="1A1A1A"/>
          <w:sz w:val="22"/>
          <w:szCs w:val="22"/>
        </w:rPr>
        <w:t xml:space="preserve">Kerala keeps husk retting in Red and de-fibring / ginning in Orange for the </w:t>
      </w:r>
      <w:r>
        <w:rPr>
          <w:rFonts w:ascii="Times New Roman" w:cs="Times New Roman" w:eastAsia="Times New Roman" w:hAnsi="Times New Roman"/>
          <w:b/>
          <w:bCs/>
          <w:color w:val="1A1A1A"/>
          <w:sz w:val="22"/>
          <w:szCs w:val="22"/>
        </w:rPr>
        <w:t xml:space="preserve">same raw material and the same process chain</w:t>
      </w:r>
      <w:r>
        <w:rPr>
          <w:rFonts w:ascii="Times New Roman" w:cs="Times New Roman" w:eastAsia="Times New Roman" w:hAnsi="Times New Roman"/>
          <w:color w:val="1A1A1A"/>
          <w:sz w:val="22"/>
          <w:szCs w:val="22"/>
        </w:rPr>
        <w:t xml:space="preserve"> that Tamil Nadu treats as White, on the other side of the same district border. That contrast is the core justification for the re-alignment prayed for in paragraph 6.</w:t>
      </w:r>
    </w:p>
    <w:p>
      <w:pPr>
        <w:pageBreakBefore/>
      </w:pPr>
      <w:r>
        <w:br/>
      </w:r>
    </w:p>
    <w:p>
      <w:pPr>
        <w:pStyle w:val="Heading1"/>
        <w:spacing w:after="120" w:before="160"/>
        <w:jc w:val="center"/>
      </w:pPr>
      <w:r>
        <w:rPr>
          <w:rFonts w:ascii="Times New Roman" w:cs="Times New Roman" w:eastAsia="Times New Roman" w:hAnsi="Times New Roman"/>
          <w:b/>
          <w:bCs/>
          <w:color w:val="0B3D0B"/>
          <w:sz w:val="24"/>
          <w:szCs w:val="24"/>
        </w:rPr>
        <w:t xml:space="preserve">ANNEXURE C</w:t>
      </w:r>
    </w:p>
    <w:p>
      <w:pPr>
        <w:spacing w:after="120"/>
        <w:jc w:val="center"/>
      </w:pPr>
      <w:r>
        <w:rPr>
          <w:rFonts w:ascii="Times New Roman" w:cs="Times New Roman" w:eastAsia="Times New Roman" w:hAnsi="Times New Roman"/>
          <w:b/>
          <w:bCs/>
          <w:color w:val="1A1A1A"/>
          <w:sz w:val="22"/>
          <w:szCs w:val="22"/>
        </w:rPr>
        <w:t xml:space="preserve">Model draft Government Order (for the Government's consideration)</w:t>
      </w:r>
    </w:p>
    <w:p>
      <w:pPr>
        <w:spacing w:after="120" w:line="276"/>
      </w:pPr>
      <w:r>
        <w:rPr>
          <w:rFonts w:ascii="Times New Roman" w:cs="Times New Roman" w:eastAsia="Times New Roman" w:hAnsi="Times New Roman"/>
          <w:i/>
          <w:iCs/>
          <w:color w:val="555555"/>
          <w:sz w:val="20"/>
          <w:szCs w:val="20"/>
        </w:rPr>
        <w:t xml:space="preserve">The following is a model draft placed for the Government's consideration. The actual G.O. number, date and file references are to be assigned by the Department.</w:t>
      </w:r>
    </w:p>
    <w:tbl>
      <w:tblPr>
        <w:tblW w:type="dxa" w:w="9638"/>
        <w:tblBorders>
          <w:top w:val="single" w:color="808080" w:sz="4"/>
          <w:left w:val="single" w:color="808080" w:sz="4"/>
          <w:bottom w:val="single" w:color="808080" w:sz="4"/>
          <w:right w:val="single" w:color="808080" w:sz="4"/>
          <w:insideH w:val="none" w:color="auto" w:sz="0"/>
          <w:insideV w:val="none" w:color="auto" w:sz="0"/>
        </w:tblBorders>
      </w:tblPr>
      <w:tblGrid>
        <w:gridCol w:w="9638"/>
      </w:tblGrid>
      <w:tr>
        <w:tc>
          <w:tcPr>
            <w:tcW w:type="dxa" w:w="9638"/>
            <w:shd w:fill="F5F5F0" w:color="auto" w:val="clear"/>
            <w:tcMar>
              <w:top w:type="dxa" w:w="120"/>
              <w:left w:type="dxa" w:w="160"/>
              <w:bottom w:type="dxa" w:w="120"/>
              <w:right w:type="dxa" w:w="160"/>
            </w:tcMar>
          </w:tcPr>
          <w:p>
            <w:pPr>
              <w:spacing w:after="40" w:before="40" w:line="240"/>
            </w:pPr>
            <w:r>
              <w:rPr>
                <w:rFonts w:ascii="Consolas" w:cs="Consolas" w:eastAsia="Consolas" w:hAnsi="Consolas"/>
                <w:color w:val="1A1A1A"/>
                <w:sz w:val="17"/>
                <w:szCs w:val="17"/>
              </w:rPr>
              <w:t xml:space="preserve">GOVERNMENT OF KERALA</w:t>
            </w:r>
            <w:r>
              <w:rPr>
                <w:rFonts w:ascii="Consolas" w:cs="Consolas" w:eastAsia="Consolas" w:hAnsi="Consolas"/>
                <w:color w:val="1A1A1A"/>
                <w:sz w:val="17"/>
                <w:szCs w:val="17"/>
              </w:rPr>
              <w:br/>
              <w:t xml:space="preserve">Abstract</w:t>
            </w:r>
            <w:r>
              <w:rPr>
                <w:rFonts w:ascii="Consolas" w:cs="Consolas" w:eastAsia="Consolas" w:hAnsi="Consolas"/>
                <w:color w:val="1A1A1A"/>
                <w:sz w:val="17"/>
                <w:szCs w:val="17"/>
              </w:rPr>
              <w:br/>
              <w:t xml:space="preserve"> </w:t>
            </w:r>
            <w:r>
              <w:rPr>
                <w:rFonts w:ascii="Consolas" w:cs="Consolas" w:eastAsia="Consolas" w:hAnsi="Consolas"/>
                <w:color w:val="1A1A1A"/>
                <w:sz w:val="17"/>
                <w:szCs w:val="17"/>
              </w:rPr>
              <w:br/>
              <w:t xml:space="preserve">Industries Department — Coir sector in Chittur (Palakkad) — Re-alignment of the</w:t>
            </w:r>
            <w:r>
              <w:rPr>
                <w:rFonts w:ascii="Consolas" w:cs="Consolas" w:eastAsia="Consolas" w:hAnsi="Consolas"/>
                <w:color w:val="1A1A1A"/>
                <w:sz w:val="17"/>
                <w:szCs w:val="17"/>
              </w:rPr>
              <w:br/>
              <w:t xml:space="preserve">pollution-category of coconut-husk retting (Red → Green with ZLD) and coir</w:t>
            </w:r>
            <w:r>
              <w:rPr>
                <w:rFonts w:ascii="Consolas" w:cs="Consolas" w:eastAsia="Consolas" w:hAnsi="Consolas"/>
                <w:color w:val="1A1A1A"/>
                <w:sz w:val="17"/>
                <w:szCs w:val="17"/>
              </w:rPr>
              <w:br/>
              <w:t xml:space="preserve">de-fibring / ginning (Orange → White) with the CPCB Pollution-Index Directions</w:t>
            </w:r>
            <w:r>
              <w:rPr>
                <w:rFonts w:ascii="Consolas" w:cs="Consolas" w:eastAsia="Consolas" w:hAnsi="Consolas"/>
                <w:color w:val="1A1A1A"/>
                <w:sz w:val="17"/>
                <w:szCs w:val="17"/>
              </w:rPr>
              <w:br/>
              <w:t xml:space="preserve">and with the Tamil Nadu White-category treatment, and grant of special coir-cluster</w:t>
            </w:r>
            <w:r>
              <w:rPr>
                <w:rFonts w:ascii="Consolas" w:cs="Consolas" w:eastAsia="Consolas" w:hAnsi="Consolas"/>
                <w:color w:val="1A1A1A"/>
                <w:sz w:val="17"/>
                <w:szCs w:val="17"/>
              </w:rPr>
              <w:br/>
              <w:t xml:space="preserve">status with a Common Facility Centre — Orders issued.</w:t>
            </w:r>
            <w:r>
              <w:rPr>
                <w:rFonts w:ascii="Consolas" w:cs="Consolas" w:eastAsia="Consolas" w:hAnsi="Consolas"/>
                <w:color w:val="1A1A1A"/>
                <w:sz w:val="17"/>
                <w:szCs w:val="17"/>
              </w:rPr>
              <w:br/>
              <w:t xml:space="preserve"> </w:t>
            </w:r>
            <w:r>
              <w:rPr>
                <w:rFonts w:ascii="Consolas" w:cs="Consolas" w:eastAsia="Consolas" w:hAnsi="Consolas"/>
                <w:color w:val="1A1A1A"/>
                <w:sz w:val="17"/>
                <w:szCs w:val="17"/>
              </w:rPr>
              <w:br/>
              <w:t xml:space="preserve">INDUSTRIES (COIR) DEPARTMENT</w:t>
            </w:r>
            <w:r>
              <w:rPr>
                <w:rFonts w:ascii="Consolas" w:cs="Consolas" w:eastAsia="Consolas" w:hAnsi="Consolas"/>
                <w:color w:val="1A1A1A"/>
                <w:sz w:val="17"/>
                <w:szCs w:val="17"/>
              </w:rPr>
              <w:br/>
              <w:t xml:space="preserve">G.O.(Ms) No. ______/2026/ID            Thiruvananthapuram, dated __-__-2026</w:t>
            </w:r>
            <w:r>
              <w:rPr>
                <w:rFonts w:ascii="Consolas" w:cs="Consolas" w:eastAsia="Consolas" w:hAnsi="Consolas"/>
                <w:color w:val="1A1A1A"/>
                <w:sz w:val="17"/>
                <w:szCs w:val="17"/>
              </w:rPr>
              <w:br/>
              <w:t xml:space="preserve"> </w:t>
            </w:r>
            <w:r>
              <w:rPr>
                <w:rFonts w:ascii="Consolas" w:cs="Consolas" w:eastAsia="Consolas" w:hAnsi="Consolas"/>
                <w:color w:val="1A1A1A"/>
                <w:sz w:val="17"/>
                <w:szCs w:val="17"/>
              </w:rPr>
              <w:br/>
              <w:t xml:space="preserve">Read: 1. CPCB Directions dated 07-03-2016 (No. B-29012/ESS(CPA)/2015-16) u/s</w:t>
            </w:r>
            <w:r>
              <w:rPr>
                <w:rFonts w:ascii="Consolas" w:cs="Consolas" w:eastAsia="Consolas" w:hAnsi="Consolas"/>
                <w:color w:val="1A1A1A"/>
                <w:sz w:val="17"/>
                <w:szCs w:val="17"/>
              </w:rPr>
              <w:br/>
              <w:t xml:space="preserve">         18(1)(b) of the Water (Prevention and Control of Pollution) Act, 1974,</w:t>
            </w:r>
            <w:r>
              <w:rPr>
                <w:rFonts w:ascii="Consolas" w:cs="Consolas" w:eastAsia="Consolas" w:hAnsi="Consolas"/>
                <w:color w:val="1A1A1A"/>
                <w:sz w:val="17"/>
                <w:szCs w:val="17"/>
              </w:rPr>
              <w:br/>
              <w:t xml:space="preserve">         and the subsequent CPCB Directions of 2025.</w:t>
            </w:r>
            <w:r>
              <w:rPr>
                <w:rFonts w:ascii="Consolas" w:cs="Consolas" w:eastAsia="Consolas" w:hAnsi="Consolas"/>
                <w:color w:val="1A1A1A"/>
                <w:sz w:val="17"/>
                <w:szCs w:val="17"/>
              </w:rPr>
              <w:br/>
              <w:t xml:space="preserve">      2. TNPCB proceedings dated 10-11-2021 and their withdrawal dated 12-10-2023.</w:t>
            </w:r>
            <w:r>
              <w:rPr>
                <w:rFonts w:ascii="Consolas" w:cs="Consolas" w:eastAsia="Consolas" w:hAnsi="Consolas"/>
                <w:color w:val="1A1A1A"/>
                <w:sz w:val="17"/>
                <w:szCs w:val="17"/>
              </w:rPr>
              <w:br/>
              <w:t xml:space="preserve">      3. Representation dated __-07-2026 of the Chittur Agriculture Marketing</w:t>
            </w:r>
            <w:r>
              <w:rPr>
                <w:rFonts w:ascii="Consolas" w:cs="Consolas" w:eastAsia="Consolas" w:hAnsi="Consolas"/>
                <w:color w:val="1A1A1A"/>
                <w:sz w:val="17"/>
                <w:szCs w:val="17"/>
              </w:rPr>
              <w:br/>
              <w:t xml:space="preserve">         Society, Kozhinjampara, forwarded by the MLA, Chittur.</w:t>
            </w:r>
            <w:r>
              <w:rPr>
                <w:rFonts w:ascii="Consolas" w:cs="Consolas" w:eastAsia="Consolas" w:hAnsi="Consolas"/>
                <w:color w:val="1A1A1A"/>
                <w:sz w:val="17"/>
                <w:szCs w:val="17"/>
              </w:rPr>
              <w:br/>
              <w:t xml:space="preserve"> </w:t>
            </w:r>
            <w:r>
              <w:rPr>
                <w:rFonts w:ascii="Consolas" w:cs="Consolas" w:eastAsia="Consolas" w:hAnsi="Consolas"/>
                <w:color w:val="1A1A1A"/>
                <w:sz w:val="17"/>
                <w:szCs w:val="17"/>
              </w:rPr>
              <w:br/>
              <w:t xml:space="preserve">ORDER</w:t>
            </w:r>
            <w:r>
              <w:rPr>
                <w:rFonts w:ascii="Consolas" w:cs="Consolas" w:eastAsia="Consolas" w:hAnsi="Consolas"/>
                <w:color w:val="1A1A1A"/>
                <w:sz w:val="17"/>
                <w:szCs w:val="17"/>
              </w:rPr>
              <w:br/>
              <w:t xml:space="preserve"> </w:t>
            </w:r>
            <w:r>
              <w:rPr>
                <w:rFonts w:ascii="Consolas" w:cs="Consolas" w:eastAsia="Consolas" w:hAnsi="Consolas"/>
                <w:color w:val="1A1A1A"/>
                <w:sz w:val="17"/>
                <w:szCs w:val="17"/>
              </w:rPr>
              <w:br/>
              <w:t xml:space="preserve">  Whereas coconut-husk retting and coir de-fibring / ginning are treated more</w:t>
            </w:r>
            <w:r>
              <w:rPr>
                <w:rFonts w:ascii="Consolas" w:cs="Consolas" w:eastAsia="Consolas" w:hAnsi="Consolas"/>
                <w:color w:val="1A1A1A"/>
                <w:sz w:val="17"/>
                <w:szCs w:val="17"/>
              </w:rPr>
              <w:br/>
              <w:t xml:space="preserve">stringently in Kerala (Red and Orange respectively) than the CPCB Pollution-Index</w:t>
            </w:r>
            <w:r>
              <w:rPr>
                <w:rFonts w:ascii="Consolas" w:cs="Consolas" w:eastAsia="Consolas" w:hAnsi="Consolas"/>
                <w:color w:val="1A1A1A"/>
                <w:sz w:val="17"/>
                <w:szCs w:val="17"/>
              </w:rPr>
              <w:br/>
              <w:t xml:space="preserve">norm requires, and than Tamil Nadu treats the identical process chain (White),</w:t>
            </w:r>
            <w:r>
              <w:rPr>
                <w:rFonts w:ascii="Consolas" w:cs="Consolas" w:eastAsia="Consolas" w:hAnsi="Consolas"/>
                <w:color w:val="1A1A1A"/>
                <w:sz w:val="17"/>
                <w:szCs w:val="17"/>
              </w:rPr>
              <w:br/>
              <w:t xml:space="preserve">causing these units and their employment to migrate to Pollachi (Tamil Nadu);</w:t>
            </w:r>
            <w:r>
              <w:rPr>
                <w:rFonts w:ascii="Consolas" w:cs="Consolas" w:eastAsia="Consolas" w:hAnsi="Consolas"/>
                <w:color w:val="1A1A1A"/>
                <w:sz w:val="17"/>
                <w:szCs w:val="17"/>
              </w:rPr>
              <w:br/>
              <w:t xml:space="preserve"> </w:t>
            </w:r>
            <w:r>
              <w:rPr>
                <w:rFonts w:ascii="Consolas" w:cs="Consolas" w:eastAsia="Consolas" w:hAnsi="Consolas"/>
                <w:color w:val="1A1A1A"/>
                <w:sz w:val="17"/>
                <w:szCs w:val="17"/>
              </w:rPr>
              <w:br/>
              <w:t xml:space="preserve">  Government, having considered the matter, hereby order that —</w:t>
            </w:r>
            <w:r>
              <w:rPr>
                <w:rFonts w:ascii="Consolas" w:cs="Consolas" w:eastAsia="Consolas" w:hAnsi="Consolas"/>
                <w:color w:val="1A1A1A"/>
                <w:sz w:val="17"/>
                <w:szCs w:val="17"/>
              </w:rPr>
              <w:br/>
              <w:t xml:space="preserve"> </w:t>
            </w:r>
            <w:r>
              <w:rPr>
                <w:rFonts w:ascii="Consolas" w:cs="Consolas" w:eastAsia="Consolas" w:hAnsi="Consolas"/>
                <w:color w:val="1A1A1A"/>
                <w:sz w:val="17"/>
                <w:szCs w:val="17"/>
              </w:rPr>
              <w:br/>
              <w:t xml:space="preserve">  (1) the Kerala State Pollution Control Board shall re-align coir de-fibring /</w:t>
            </w:r>
            <w:r>
              <w:rPr>
                <w:rFonts w:ascii="Consolas" w:cs="Consolas" w:eastAsia="Consolas" w:hAnsi="Consolas"/>
                <w:color w:val="1A1A1A"/>
                <w:sz w:val="17"/>
                <w:szCs w:val="17"/>
              </w:rPr>
              <w:br/>
              <w:t xml:space="preserve">      ginning to the White category and coconut-husk retting to the Green category</w:t>
            </w:r>
            <w:r>
              <w:rPr>
                <w:rFonts w:ascii="Consolas" w:cs="Consolas" w:eastAsia="Consolas" w:hAnsi="Consolas"/>
                <w:color w:val="1A1A1A"/>
                <w:sz w:val="17"/>
                <w:szCs w:val="17"/>
              </w:rPr>
              <w:br/>
              <w:t xml:space="preserve">      with mandatory Zero-Liquid-Discharge safeguards, consistent with the CPCB</w:t>
            </w:r>
            <w:r>
              <w:rPr>
                <w:rFonts w:ascii="Consolas" w:cs="Consolas" w:eastAsia="Consolas" w:hAnsi="Consolas"/>
                <w:color w:val="1A1A1A"/>
                <w:sz w:val="17"/>
                <w:szCs w:val="17"/>
              </w:rPr>
              <w:br/>
              <w:t xml:space="preserve">      Directions read above, retaining Orange regulation only for bleaching /</w:t>
            </w:r>
            <w:r>
              <w:rPr>
                <w:rFonts w:ascii="Consolas" w:cs="Consolas" w:eastAsia="Consolas" w:hAnsi="Consolas"/>
                <w:color w:val="1A1A1A"/>
                <w:sz w:val="17"/>
                <w:szCs w:val="17"/>
              </w:rPr>
              <w:br/>
              <w:t xml:space="preserve">      dyeing / stencilling;</w:t>
            </w:r>
            <w:r>
              <w:rPr>
                <w:rFonts w:ascii="Consolas" w:cs="Consolas" w:eastAsia="Consolas" w:hAnsi="Consolas"/>
                <w:color w:val="1A1A1A"/>
                <w:sz w:val="17"/>
                <w:szCs w:val="17"/>
              </w:rPr>
              <w:br/>
              <w:t xml:space="preserve">  (2) a special coir-cluster / coir industrial-zone status is accorded to Chittur,</w:t>
            </w:r>
            <w:r>
              <w:rPr>
                <w:rFonts w:ascii="Consolas" w:cs="Consolas" w:eastAsia="Consolas" w:hAnsi="Consolas"/>
                <w:color w:val="1A1A1A"/>
                <w:sz w:val="17"/>
                <w:szCs w:val="17"/>
              </w:rPr>
              <w:br/>
              <w:t xml:space="preserve">      with an SPV and a Common Facility Centre (mechanised de-fibring, pith</w:t>
            </w:r>
            <w:r>
              <w:rPr>
                <w:rFonts w:ascii="Consolas" w:cs="Consolas" w:eastAsia="Consolas" w:hAnsi="Consolas"/>
                <w:color w:val="1A1A1A"/>
                <w:sz w:val="17"/>
                <w:szCs w:val="17"/>
              </w:rPr>
              <w:br/>
              <w:t xml:space="preserve">      washing / block-making with ZLD and salinity management);</w:t>
            </w:r>
            <w:r>
              <w:rPr>
                <w:rFonts w:ascii="Consolas" w:cs="Consolas" w:eastAsia="Consolas" w:hAnsi="Consolas"/>
                <w:color w:val="1A1A1A"/>
                <w:sz w:val="17"/>
                <w:szCs w:val="17"/>
              </w:rPr>
              <w:br/>
              <w:t xml:space="preserve">  (3) capital subsidy, interest subvention and power-tariff parity with Tamil Nadu</w:t>
            </w:r>
            <w:r>
              <w:rPr>
                <w:rFonts w:ascii="Consolas" w:cs="Consolas" w:eastAsia="Consolas" w:hAnsi="Consolas"/>
                <w:color w:val="1A1A1A"/>
                <w:sz w:val="17"/>
                <w:szCs w:val="17"/>
              </w:rPr>
              <w:br/>
              <w:t xml:space="preserve">      shall be extended to coir units in Chittur; and</w:t>
            </w:r>
            <w:r>
              <w:rPr>
                <w:rFonts w:ascii="Consolas" w:cs="Consolas" w:eastAsia="Consolas" w:hAnsi="Consolas"/>
                <w:color w:val="1A1A1A"/>
                <w:sz w:val="17"/>
                <w:szCs w:val="17"/>
              </w:rPr>
              <w:br/>
              <w:t xml:space="preserve">  (4) the Industries and Coir Directorates shall ensure a level playing field so</w:t>
            </w:r>
            <w:r>
              <w:rPr>
                <w:rFonts w:ascii="Consolas" w:cs="Consolas" w:eastAsia="Consolas" w:hAnsi="Consolas"/>
                <w:color w:val="1A1A1A"/>
                <w:sz w:val="17"/>
                <w:szCs w:val="17"/>
              </w:rPr>
              <w:br/>
              <w:t xml:space="preserve">      that value addition to Kerala's coconut husk is retained within the State.</w:t>
            </w:r>
            <w:r>
              <w:rPr>
                <w:rFonts w:ascii="Consolas" w:cs="Consolas" w:eastAsia="Consolas" w:hAnsi="Consolas"/>
                <w:color w:val="1A1A1A"/>
                <w:sz w:val="17"/>
                <w:szCs w:val="17"/>
              </w:rPr>
              <w:br/>
              <w:t xml:space="preserve"> </w:t>
            </w:r>
            <w:r>
              <w:rPr>
                <w:rFonts w:ascii="Consolas" w:cs="Consolas" w:eastAsia="Consolas" w:hAnsi="Consolas"/>
                <w:color w:val="1A1A1A"/>
                <w:sz w:val="17"/>
                <w:szCs w:val="17"/>
              </w:rPr>
              <w:br/>
              <w:t xml:space="preserve">                                        By order of the Governor,</w:t>
            </w:r>
            <w:r>
              <w:rPr>
                <w:rFonts w:ascii="Consolas" w:cs="Consolas" w:eastAsia="Consolas" w:hAnsi="Consolas"/>
                <w:color w:val="1A1A1A"/>
                <w:sz w:val="17"/>
                <w:szCs w:val="17"/>
              </w:rPr>
              <w:br/>
              <w:t xml:space="preserve">                                        __________________________</w:t>
            </w:r>
            <w:r>
              <w:rPr>
                <w:rFonts w:ascii="Consolas" w:cs="Consolas" w:eastAsia="Consolas" w:hAnsi="Consolas"/>
                <w:color w:val="1A1A1A"/>
                <w:sz w:val="17"/>
                <w:szCs w:val="17"/>
              </w:rPr>
              <w:br/>
              <w:t xml:space="preserve">                                        Secretary to Government</w:t>
            </w:r>
            <w:r>
              <w:rPr>
                <w:rFonts w:ascii="Consolas" w:cs="Consolas" w:eastAsia="Consolas" w:hAnsi="Consolas"/>
                <w:color w:val="1A1A1A"/>
                <w:sz w:val="17"/>
                <w:szCs w:val="17"/>
              </w:rPr>
              <w:br/>
              <w:t xml:space="preserve"> </w:t>
            </w:r>
            <w:r>
              <w:rPr>
                <w:rFonts w:ascii="Consolas" w:cs="Consolas" w:eastAsia="Consolas" w:hAnsi="Consolas"/>
                <w:color w:val="1A1A1A"/>
                <w:sz w:val="17"/>
                <w:szCs w:val="17"/>
              </w:rPr>
              <w:br/>
              <w:t xml:space="preserve">To  The Director of Industries &amp; Commerce; the Director of Coir Development;</w:t>
            </w:r>
            <w:r>
              <w:rPr>
                <w:rFonts w:ascii="Consolas" w:cs="Consolas" w:eastAsia="Consolas" w:hAnsi="Consolas"/>
                <w:color w:val="1A1A1A"/>
                <w:sz w:val="17"/>
                <w:szCs w:val="17"/>
              </w:rPr>
              <w:br/>
              <w:t xml:space="preserve">    the Chairman, Kerala State Pollution Control Board.</w:t>
            </w:r>
            <w:r>
              <w:rPr>
                <w:rFonts w:ascii="Consolas" w:cs="Consolas" w:eastAsia="Consolas" w:hAnsi="Consolas"/>
                <w:color w:val="1A1A1A"/>
                <w:sz w:val="17"/>
                <w:szCs w:val="17"/>
              </w:rPr>
              <w:br/>
              <w:t xml:space="preserve">    Copy to: the Minister for Coir; Environment Department; the MLA, Chittur.</w:t>
            </w:r>
          </w:p>
        </w:tc>
      </w:tr>
    </w:tbl>
    <w:sectPr>
      <w:headerReference w:type="default" r:id="rId7"/>
      <w:footerReference w:type="default" r:id="rId8"/>
      <w:pgSz w:w="11906" w:h="16838" w:orient="portrait"/>
      <w:pgMar w:top="1276"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jc w:val="center"/>
    </w:pPr>
    <w:r>
      <w:rPr>
        <w:rFonts w:ascii="Times New Roman" w:cs="Times New Roman" w:eastAsia="Times New Roman" w:hAnsi="Times New Roman"/>
        <w:color w:val="999999"/>
        <w:sz w:val="16"/>
        <w:szCs w:val="16"/>
      </w:rPr>
      <w:t xml:space="preserve">Coir pollution-category parity petition — Chittur</w:t>
    </w:r>
    <w:r>
      <w:rPr>
        <w:rFonts w:ascii="Times New Roman" w:cs="Times New Roman" w:eastAsia="Times New Roman" w:hAnsi="Times New Roman"/>
        <w:color w:val="999999"/>
        <w:sz w:val="16"/>
        <w:szCs w:val="16"/>
      </w:rPr>
      <w:t xml:space="preserve">	Page </w:t>
    </w:r>
    <w:r>
      <w:rPr>
        <w:rFonts w:ascii="Times New Roman" w:cs="Times New Roman" w:eastAsia="Times New Roman" w:hAnsi="Times New Roman"/>
        <w:color w:val="999999"/>
        <w:sz w:val="16"/>
        <w:szCs w:val="16"/>
      </w:rPr>
      <w:fldChar w:fldCharType="begin"/>
      <w:instrText xml:space="preserve">PAGE</w:instrText>
      <w:fldChar w:fldCharType="separate"/>
      <w:fldChar w:fldCharType="end"/>
    </w:r>
    <w:r>
      <w:rPr>
        <w:rFonts w:ascii="Times New Roman" w:cs="Times New Roman" w:eastAsia="Times New Roman" w:hAnsi="Times New Roman"/>
        <w:color w:val="999999"/>
        <w:sz w:val="16"/>
        <w:szCs w:val="16"/>
      </w:rPr>
      <w:t xml:space="preserve"> of </w:t>
    </w:r>
    <w:r>
      <w:rPr>
        <w:rFonts w:ascii="Times New Roman" w:cs="Times New Roman" w:eastAsia="Times New Roman" w:hAnsi="Times New Roman"/>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2"/>
      </w:pBdr>
      <w:spacing w:after="0"/>
      <w:jc w:val="right"/>
    </w:pPr>
    <w:r>
      <w:rPr>
        <w:rFonts w:ascii="Times New Roman" w:cs="Times New Roman" w:eastAsia="Times New Roman" w:hAnsi="Times New Roman"/>
        <w:i/>
        <w:iCs/>
        <w:color w:val="888888"/>
        <w:sz w:val="16"/>
        <w:szCs w:val="16"/>
      </w:rPr>
      <w:t xml:space="preserve">Chittur Agriculture Marketing Society, Kozhinjampara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20" w:hanging="340"/>
      </w:pPr>
    </w:lvl>
  </w:abstractNum>
  <w:abstractNum w:abstractNumId="3" w15:restartNumberingAfterBreak="0">
    <w:multiLevelType w:val="hybridMultilevel"/>
    <w:lvl w:ilvl="0" w15:tentative="1">
      <w:start w:val="1"/>
      <w:numFmt w:val="bullet"/>
      <w:lvlText w:val="•"/>
      <w:lvlJc w:val="start"/>
      <w:pPr>
        <w:ind w:left="52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20"/>
      <w:outlineLvl w:val="0"/>
    </w:pPr>
    <w:rPr>
      <w:rFonts w:ascii="Times New Roman" w:cs="Times New Roman" w:eastAsia="Times New Roman" w:hAnsi="Times New Roman"/>
      <w:b/>
      <w:bCs/>
      <w:color w:val="0B3D0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Petition — Coir Industry Pollution-Category Parity, Chittur</dc:title>
  <dc:creator>Chittur Agriculture Marketing Society, Kozhinjampara</dc:creator>
  <dc:description>Formal petition on KSPCB vs TNPCB coir classification parity for Chittur.</dc:description>
  <cp:lastModifiedBy>Un-named</cp:lastModifiedBy>
  <cp:revision>1</cp:revision>
  <dcterms:created xsi:type="dcterms:W3CDTF">2026-07-17T16:26:21.541Z</dcterms:created>
  <dcterms:modified xsi:type="dcterms:W3CDTF">2026-07-17T16:26:21.541Z</dcterms:modified>
</cp:coreProperties>
</file>

<file path=docProps/custom.xml><?xml version="1.0" encoding="utf-8"?>
<Properties xmlns="http://schemas.openxmlformats.org/officeDocument/2006/custom-properties" xmlns:vt="http://schemas.openxmlformats.org/officeDocument/2006/docPropsVTypes"/>
</file>