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65740"/>
        </w:rPr>
        <w:t>PRODUCT REQUIREMENTS DOCUMENT</w:t>
      </w:r>
    </w:p>
    <w:p>
      <w:pPr>
        <w:pStyle w:val="Heading1"/>
      </w:pPr>
      <w:r>
        <w:rPr>
          <w:color w:val="141414"/>
          <w:sz w:val="34"/>
        </w:rPr>
        <w:t>AI-Assisted Extraction with Human Verification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vAlign w:val="center"/>
            <w:tcMar>
              <w:top w:w="80" w:type="dxa"/>
              <w:start w:w="100" w:type="dxa"/>
              <w:bottom w:w="80" w:type="dxa"/>
              <w:end w:w="100" w:type="dxa"/>
            </w:tcMar>
            <w:shd w:fill="EAF4EF"/>
          </w:tcPr>
          <w:p>
            <w:r>
              <w:rPr>
                <w:rFonts w:ascii="Aptos" w:hAnsi="Aptos"/>
                <w:b/>
                <w:color w:val="165740"/>
                <w:sz w:val="19"/>
              </w:rPr>
              <w:t>Product</w:t>
            </w:r>
          </w:p>
        </w:tc>
        <w:tc>
          <w:tcPr>
            <w:tcW w:type="dxa" w:w="2484"/>
            <w:vAlign w:val="center"/>
            <w:tcMar>
              <w:top w:w="80" w:type="dxa"/>
              <w:start w:w="100" w:type="dxa"/>
              <w:bottom w:w="80" w:type="dxa"/>
              <w:end w:w="100" w:type="dxa"/>
            </w:tcMar>
            <w:shd w:fill="EAF4EF"/>
          </w:tcPr>
          <w:p>
            <w:r>
              <w:rPr>
                <w:rFonts w:ascii="Aptos" w:hAnsi="Aptos"/>
                <w:b/>
                <w:color w:val="165740"/>
                <w:sz w:val="19"/>
              </w:rPr>
              <w:t>Version</w:t>
            </w:r>
          </w:p>
        </w:tc>
        <w:tc>
          <w:tcPr>
            <w:tcW w:type="dxa" w:w="2484"/>
            <w:vAlign w:val="center"/>
            <w:tcMar>
              <w:top w:w="80" w:type="dxa"/>
              <w:start w:w="100" w:type="dxa"/>
              <w:bottom w:w="80" w:type="dxa"/>
              <w:end w:w="100" w:type="dxa"/>
            </w:tcMar>
            <w:shd w:fill="EAF4EF"/>
          </w:tcPr>
          <w:p>
            <w:r>
              <w:rPr>
                <w:rFonts w:ascii="Aptos" w:hAnsi="Aptos"/>
                <w:b/>
                <w:color w:val="165740"/>
                <w:sz w:val="19"/>
              </w:rPr>
              <w:t>Date</w:t>
            </w:r>
          </w:p>
        </w:tc>
        <w:tc>
          <w:tcPr>
            <w:tcW w:type="dxa" w:w="2484"/>
            <w:vAlign w:val="center"/>
            <w:tcMar>
              <w:top w:w="80" w:type="dxa"/>
              <w:start w:w="100" w:type="dxa"/>
              <w:bottom w:w="80" w:type="dxa"/>
              <w:end w:w="100" w:type="dxa"/>
            </w:tcMar>
            <w:shd w:fill="EAF4EF"/>
          </w:tcPr>
          <w:p>
            <w:r>
              <w:rPr>
                <w:rFonts w:ascii="Aptos" w:hAnsi="Aptos"/>
                <w:b/>
                <w:color w:val="165740"/>
                <w:sz w:val="19"/>
              </w:rPr>
              <w:t>Status</w:t>
            </w:r>
          </w:p>
        </w:tc>
      </w:tr>
      <w:tr>
        <w:tc>
          <w:tcPr>
            <w:tcW w:type="dxa" w:w="2484"/>
            <w:vAlign w:val="center"/>
            <w:tcMar>
              <w:top w:w="80" w:type="dxa"/>
              <w:start w:w="100" w:type="dxa"/>
              <w:bottom w:w="80" w:type="dxa"/>
              <w:end w:w="100" w:type="dxa"/>
            </w:tcMar>
          </w:tcPr>
          <w:p>
            <w:r>
              <w:rPr>
                <w:rFonts w:ascii="Aptos" w:hAnsi="Aptos"/>
                <w:sz w:val="19"/>
              </w:rPr>
              <w:t>PactBadger</w:t>
            </w:r>
          </w:p>
        </w:tc>
        <w:tc>
          <w:tcPr>
            <w:tcW w:type="dxa" w:w="2484"/>
            <w:vAlign w:val="center"/>
            <w:tcMar>
              <w:top w:w="80" w:type="dxa"/>
              <w:start w:w="100" w:type="dxa"/>
              <w:bottom w:w="80" w:type="dxa"/>
              <w:end w:w="100" w:type="dxa"/>
            </w:tcMar>
          </w:tcPr>
          <w:p>
            <w:r>
              <w:rPr>
                <w:rFonts w:ascii="Aptos" w:hAnsi="Aptos"/>
                <w:sz w:val="19"/>
              </w:rPr>
              <w:t>1.2 — Expanded Alert-Driven Verification</w:t>
            </w:r>
          </w:p>
        </w:tc>
        <w:tc>
          <w:tcPr>
            <w:tcW w:type="dxa" w:w="2484"/>
            <w:vAlign w:val="center"/>
            <w:tcMar>
              <w:top w:w="80" w:type="dxa"/>
              <w:start w:w="100" w:type="dxa"/>
              <w:bottom w:w="80" w:type="dxa"/>
              <w:end w:w="100" w:type="dxa"/>
            </w:tcMar>
          </w:tcPr>
          <w:p>
            <w:r>
              <w:rPr>
                <w:rFonts w:ascii="Aptos" w:hAnsi="Aptos"/>
                <w:sz w:val="19"/>
              </w:rPr>
              <w:t>March 7, 2026</w:t>
            </w:r>
          </w:p>
        </w:tc>
        <w:tc>
          <w:tcPr>
            <w:tcW w:type="dxa" w:w="2484"/>
            <w:vAlign w:val="center"/>
            <w:tcMar>
              <w:top w:w="80" w:type="dxa"/>
              <w:start w:w="100" w:type="dxa"/>
              <w:bottom w:w="80" w:type="dxa"/>
              <w:end w:w="100" w:type="dxa"/>
            </w:tcMar>
          </w:tcPr>
          <w:p>
            <w:r>
              <w:rPr>
                <w:rFonts w:ascii="Aptos" w:hAnsi="Aptos"/>
                <w:sz w:val="19"/>
              </w:rPr>
              <w:t>Draft</w:t>
            </w:r>
          </w:p>
        </w:tc>
      </w:tr>
    </w:tbl>
    <w:tbl>
      <w:tblPr>
        <w:tblStyle w:val="TableGrid"/>
        <w:tblW w:type="auto" w:w="0"/>
        <w:tblLook w:firstColumn="1" w:firstRow="1" w:lastColumn="0" w:lastRow="0" w:noHBand="0" w:noVBand="1" w:val="04A0"/>
      </w:tblPr>
      <w:tblGrid>
        <w:gridCol w:w="9936"/>
      </w:tblGrid>
      <w:tr>
        <w:tc>
          <w:tcPr>
            <w:tcW w:type="dxa" w:w="9936"/>
            <w:shd w:fill="F3F8F5"/>
            <w:tcMar>
              <w:top w:w="120" w:type="dxa"/>
              <w:start w:w="120" w:type="dxa"/>
              <w:bottom w:w="120" w:type="dxa"/>
              <w:end w:w="120" w:type="dxa"/>
            </w:tcMar>
          </w:tcPr>
          <w:p>
            <w:r>
              <w:rPr>
                <w:rFonts w:ascii="Aptos" w:hAnsi="Aptos"/>
                <w:sz w:val="20"/>
              </w:rPr>
              <w:t>Revision intent: keep the review experience exception-first while expanding the PRD to cover the full alert-driven contract model, including lease-specific dates, milestones, options, escalations, derived fields, activation dependencies, and post-activation follow-through.</w:t>
            </w:r>
          </w:p>
        </w:tc>
      </w:tr>
    </w:tbl>
    <w:p>
      <w:pPr>
        <w:pStyle w:val="Heading1"/>
      </w:pPr>
      <w:r>
        <w:t>1. Executive Summary of Revisions</w:t>
      </w:r>
    </w:p>
    <w:p>
      <w:r>
        <w:t>This revision removes the implied roadmap split between “basic” and “advanced” lease verification. All alert-driving and alert-governing fields now sit inside core product scope. The PRD still classifies fields by operational role, because equal product importance does not mean identical activation behavior.</w:t>
      </w:r>
    </w:p>
    <w:p>
      <w:pPr>
        <w:ind w:left="360" w:hanging="216"/>
      </w:pPr>
      <w:r>
        <w:rPr>
          <w:b/>
        </w:rPr>
        <w:t xml:space="preserve">• </w:t>
      </w:r>
      <w:r>
        <w:t>Field scope now includes the full alert model: end date, next renewal date, notice period, auto-renew, contract type, CAM reconciliation month, TI deadline, rent escalations, lease option notice deadlines, milestones, and milestone recurrence settings.</w:t>
      </w:r>
    </w:p>
    <w:p>
      <w:pPr>
        <w:ind w:left="360" w:hanging="216"/>
      </w:pPr>
      <w:r>
        <w:rPr>
          <w:b/>
        </w:rPr>
        <w:t xml:space="preserve">• </w:t>
      </w:r>
      <w:r>
        <w:t>The review model is now anchored to alert safety: users review what is necessary to safely activate alerts, not every extracted field.</w:t>
      </w:r>
    </w:p>
    <w:p>
      <w:pPr>
        <w:ind w:left="360" w:hanging="216"/>
      </w:pPr>
      <w:r>
        <w:rPr>
          <w:b/>
        </w:rPr>
        <w:t xml:space="preserve">• </w:t>
      </w:r>
      <w:r>
        <w:t>The confidence section is rewritten as a readiness model that combines field-family confidence, conflict checks, source quality, document precedence, and dependency checks.</w:t>
      </w:r>
    </w:p>
    <w:p>
      <w:pPr>
        <w:ind w:left="360" w:hanging="216"/>
      </w:pPr>
      <w:r>
        <w:rPr>
          <w:b/>
        </w:rPr>
        <w:t xml:space="preserve">• </w:t>
      </w:r>
      <w:r>
        <w:t>The PRD now includes an explicit alert wiring reference, derived-field dependency rules, and a post-activation metric for standard-priority fields resolved within 7 days.</w:t>
      </w:r>
    </w:p>
    <w:p>
      <w:pPr>
        <w:pStyle w:val="Heading1"/>
      </w:pPr>
      <w:r>
        <w:t>2. Overview</w:t>
      </w:r>
    </w:p>
    <w:p>
      <w:pPr>
        <w:pStyle w:val="Heading2"/>
      </w:pPr>
      <w:r>
        <w:t>2.1 Problem Statement</w:t>
      </w:r>
    </w:p>
    <w:p>
      <w:r>
        <w:t>PactBadger uses AI to extract dates, values, and operational clauses from uploaded contracts. The adoption blocker is not typing speed; it is trust. Users will not let the product schedule alerts, trigger notice windows, or govern renewal workflows unless they can see that PactBadger interpreted the contract correctly.</w:t>
      </w:r>
    </w:p>
    <w:p>
      <w:r>
        <w:t>The product therefore needs two things at once: a fast exception-first review experience for the user, and rigorous activation logic for the system. The user experience should feel lightweight; the system logic behind activation must be conservative and explicit.</w:t>
      </w:r>
    </w:p>
    <w:p>
      <w:pPr>
        <w:pStyle w:val="Heading2"/>
      </w:pPr>
      <w:r>
        <w:t>2.2 Product Promise</w:t>
      </w:r>
    </w:p>
    <w:p>
      <w:r>
        <w:t>The promise is not “AI is perfect.” The promise is: AI does the hard reading, creates the contract record, and asks the user to resolve only the items that matter before tracking goes live.</w:t>
      </w:r>
    </w:p>
    <w:p>
      <w:pPr>
        <w:pStyle w:val="Heading2"/>
      </w:pPr>
      <w:r>
        <w:t>2.3 Product Goal</w:t>
      </w:r>
    </w:p>
    <w:p>
      <w:r>
        <w:t>After upload, PactBadger should produce an AI-created contract record, classify each extracted or computed field by readiness, surface only the necessary exceptions, allow the user to save a draft at any point, and activate tracking only when the required alert inputs are safe to rely on.</w:t>
      </w:r>
    </w:p>
    <w:p>
      <w:pPr>
        <w:pStyle w:val="Heading1"/>
      </w:pPr>
      <w:r>
        <w:t>3. Core Workflow and State Model</w:t>
      </w:r>
    </w:p>
    <w:p>
      <w:pPr>
        <w:ind w:left="360" w:hanging="216"/>
      </w:pPr>
      <w:r>
        <w:rPr>
          <w:b/>
        </w:rPr>
        <w:t xml:space="preserve">• </w:t>
      </w:r>
      <w:r>
        <w:t>Upload. User uploads a contract package (PDF, DOCX, image, or combined lease + amendment set).</w:t>
      </w:r>
    </w:p>
    <w:p>
      <w:pPr>
        <w:ind w:left="360" w:hanging="216"/>
      </w:pPr>
      <w:r>
        <w:rPr>
          <w:b/>
        </w:rPr>
        <w:t xml:space="preserve">• </w:t>
      </w:r>
      <w:r>
        <w:t>Extract. PactBadger extracts supported fields and supporting source spans, and computes derived values where rules permit.</w:t>
      </w:r>
    </w:p>
    <w:p>
      <w:pPr>
        <w:ind w:left="360" w:hanging="216"/>
      </w:pPr>
      <w:r>
        <w:rPr>
          <w:b/>
        </w:rPr>
        <w:t xml:space="preserve">• </w:t>
      </w:r>
      <w:r>
        <w:t>Assemble Record. PactBadger creates a proposed contract record and assigns each field a readiness state.</w:t>
      </w:r>
    </w:p>
    <w:p>
      <w:pPr>
        <w:ind w:left="360" w:hanging="216"/>
      </w:pPr>
      <w:r>
        <w:rPr>
          <w:b/>
        </w:rPr>
        <w:t xml:space="preserve">• </w:t>
      </w:r>
      <w:r>
        <w:t>Review Exceptions. The interface defaults to a compact “Looks Good” view plus expanded “Needs Review” items only.</w:t>
      </w:r>
    </w:p>
    <w:p>
      <w:pPr>
        <w:ind w:left="360" w:hanging="216"/>
      </w:pPr>
      <w:r>
        <w:rPr>
          <w:b/>
        </w:rPr>
        <w:t xml:space="preserve">• </w:t>
      </w:r>
      <w:r>
        <w:t>Save Draft. User may store the record without activating reminders.</w:t>
      </w:r>
    </w:p>
    <w:p>
      <w:pPr>
        <w:ind w:left="360" w:hanging="216"/>
      </w:pPr>
      <w:r>
        <w:rPr>
          <w:b/>
        </w:rPr>
        <w:t xml:space="preserve">• </w:t>
      </w:r>
      <w:r>
        <w:t>Activate Tracking. PactBadger creates alert schedules and workflow entries only when all required inputs for applicable alert families are resolved.</w:t>
      </w:r>
    </w:p>
    <w:p>
      <w:pPr>
        <w:ind w:left="360" w:hanging="216"/>
      </w:pPr>
      <w:r>
        <w:rPr>
          <w:b/>
        </w:rPr>
        <w:t xml:space="preserve">• </w:t>
      </w:r>
      <w:r>
        <w:t>Ongoing Resolution. Non-gating but still useful standard-priority fields remain visible after activation until resolved or marked not applicable.</w:t>
      </w:r>
    </w:p>
    <w:p>
      <w:pPr>
        <w:pStyle w:val="Heading2"/>
      </w:pPr>
      <w:r>
        <w:t>3.1 Contract States</w:t>
      </w:r>
    </w:p>
    <w:p>
      <w:pPr>
        <w:ind w:left="360" w:hanging="216"/>
      </w:pPr>
      <w:r>
        <w:rPr>
          <w:b/>
        </w:rPr>
        <w:t xml:space="preserve">• </w:t>
      </w:r>
      <w:r>
        <w:t>Pending Review: extraction completed; gating requirements for activation are not yet satisfied.</w:t>
      </w:r>
    </w:p>
    <w:p>
      <w:pPr>
        <w:ind w:left="360" w:hanging="216"/>
      </w:pPr>
      <w:r>
        <w:rPr>
          <w:b/>
        </w:rPr>
        <w:t xml:space="preserve">• </w:t>
      </w:r>
      <w:r>
        <w:t>Draft Saved: record stored with current values and audit trail; no alert schedules are live.</w:t>
      </w:r>
    </w:p>
    <w:p>
      <w:pPr>
        <w:ind w:left="360" w:hanging="216"/>
      </w:pPr>
      <w:r>
        <w:rPr>
          <w:b/>
        </w:rPr>
        <w:t xml:space="preserve">• </w:t>
      </w:r>
      <w:r>
        <w:t>Active: required alert families are safely activated.</w:t>
      </w:r>
    </w:p>
    <w:p>
      <w:pPr>
        <w:ind w:left="360" w:hanging="216"/>
      </w:pPr>
      <w:r>
        <w:rPr>
          <w:b/>
        </w:rPr>
        <w:t xml:space="preserve">• </w:t>
      </w:r>
      <w:r>
        <w:t>Active with Open Standard Items: alerts are live, but one or more non-gating standard-priority fields still need follow-up.</w:t>
      </w:r>
    </w:p>
    <w:p>
      <w:pPr>
        <w:ind w:left="360" w:hanging="216"/>
      </w:pPr>
      <w:r>
        <w:rPr>
          <w:b/>
        </w:rPr>
        <w:t xml:space="preserve">• </w:t>
      </w:r>
      <w:r>
        <w:t>Expired / Cancelled: app-managed state; alert generation is suppressed operationally.</w:t>
      </w:r>
    </w:p>
    <w:p>
      <w:pPr>
        <w:pStyle w:val="Heading1"/>
      </w:pPr>
      <w:r>
        <w:t>4. In-Scope Field Model and Operational Classification</w:t>
      </w:r>
    </w:p>
    <w:p>
      <w:r>
        <w:t>All supported fields below are in scope now. They are not phased by roadmap tier. They are classified by how they affect alert generation and activation behavior.</w:t>
      </w:r>
    </w:p>
    <w:tbl>
      <w:tblPr>
        <w:tblStyle w:val="TableGrid"/>
        <w:tblW w:type="auto" w:w="0"/>
        <w:jc w:val="left"/>
        <w:tblLook w:firstColumn="1" w:firstRow="1" w:lastColumn="0" w:lastRow="0" w:noHBand="0" w:noVBand="1" w:val="04A0"/>
      </w:tblPr>
      <w:tblGrid>
        <w:gridCol w:w="2484"/>
        <w:gridCol w:w="2484"/>
        <w:gridCol w:w="2484"/>
        <w:gridCol w:w="2484"/>
      </w:tblGrid>
      <w:tr>
        <w:trPr>
          <w:tblHeader w:val="true"/>
        </w:trPr>
        <w:tc>
          <w:tcPr>
            <w:tcW w:type="dxa" w:w="2484"/>
            <w:shd w:fill="EAF4EF"/>
            <w:tcMar>
              <w:top w:w="80" w:type="dxa"/>
              <w:start w:w="100" w:type="dxa"/>
              <w:bottom w:w="80" w:type="dxa"/>
              <w:end w:w="100" w:type="dxa"/>
            </w:tcMar>
          </w:tcPr>
          <w:p>
            <w:r>
              <w:rPr>
                <w:rFonts w:ascii="Aptos" w:hAnsi="Aptos"/>
                <w:b/>
                <w:color w:val="165740"/>
                <w:sz w:val="18"/>
              </w:rPr>
              <w:t>Class</w:t>
            </w:r>
          </w:p>
        </w:tc>
        <w:tc>
          <w:tcPr>
            <w:tcW w:type="dxa" w:w="2484"/>
            <w:shd w:fill="EAF4EF"/>
            <w:tcMar>
              <w:top w:w="80" w:type="dxa"/>
              <w:start w:w="100" w:type="dxa"/>
              <w:bottom w:w="80" w:type="dxa"/>
              <w:end w:w="100" w:type="dxa"/>
            </w:tcMar>
          </w:tcPr>
          <w:p>
            <w:r>
              <w:rPr>
                <w:rFonts w:ascii="Aptos" w:hAnsi="Aptos"/>
                <w:b/>
                <w:color w:val="165740"/>
                <w:sz w:val="18"/>
              </w:rPr>
              <w:t>Purpose</w:t>
            </w:r>
          </w:p>
        </w:tc>
        <w:tc>
          <w:tcPr>
            <w:tcW w:type="dxa" w:w="2484"/>
            <w:shd w:fill="EAF4EF"/>
            <w:tcMar>
              <w:top w:w="80" w:type="dxa"/>
              <w:start w:w="100" w:type="dxa"/>
              <w:bottom w:w="80" w:type="dxa"/>
              <w:end w:w="100" w:type="dxa"/>
            </w:tcMar>
          </w:tcPr>
          <w:p>
            <w:r>
              <w:rPr>
                <w:rFonts w:ascii="Aptos" w:hAnsi="Aptos"/>
                <w:b/>
                <w:color w:val="165740"/>
                <w:sz w:val="18"/>
              </w:rPr>
              <w:t>Included Fields</w:t>
            </w:r>
          </w:p>
        </w:tc>
        <w:tc>
          <w:tcPr>
            <w:tcW w:type="dxa" w:w="2484"/>
            <w:shd w:fill="EAF4EF"/>
            <w:tcMar>
              <w:top w:w="80" w:type="dxa"/>
              <w:start w:w="100" w:type="dxa"/>
              <w:bottom w:w="80" w:type="dxa"/>
              <w:end w:w="100" w:type="dxa"/>
            </w:tcMar>
          </w:tcPr>
          <w:p>
            <w:r>
              <w:rPr>
                <w:rFonts w:ascii="Aptos" w:hAnsi="Aptos"/>
                <w:b/>
                <w:color w:val="165740"/>
                <w:sz w:val="18"/>
              </w:rPr>
              <w:t>Activation Effect</w:t>
            </w:r>
          </w:p>
        </w:tc>
      </w:tr>
      <w:tr>
        <w:tc>
          <w:tcPr>
            <w:tcW w:type="dxa" w:w="2484"/>
            <w:tcMar>
              <w:top w:w="80" w:type="dxa"/>
              <w:start w:w="100" w:type="dxa"/>
              <w:bottom w:w="80" w:type="dxa"/>
              <w:end w:w="100" w:type="dxa"/>
            </w:tcMar>
            <w:vAlign w:val="center"/>
          </w:tcPr>
          <w:p>
            <w:r>
              <w:rPr>
                <w:rFonts w:ascii="Aptos" w:hAnsi="Aptos"/>
                <w:sz w:val="18"/>
              </w:rPr>
              <w:t>Alert-driving extracted fields</w:t>
            </w:r>
          </w:p>
        </w:tc>
        <w:tc>
          <w:tcPr>
            <w:tcW w:type="dxa" w:w="2484"/>
            <w:tcMar>
              <w:top w:w="80" w:type="dxa"/>
              <w:start w:w="100" w:type="dxa"/>
              <w:bottom w:w="80" w:type="dxa"/>
              <w:end w:w="100" w:type="dxa"/>
            </w:tcMar>
            <w:vAlign w:val="center"/>
          </w:tcPr>
          <w:p>
            <w:r>
              <w:rPr>
                <w:rFonts w:ascii="Aptos" w:hAnsi="Aptos"/>
                <w:sz w:val="18"/>
              </w:rPr>
              <w:t>Create or date alerts when wrong</w:t>
            </w:r>
          </w:p>
        </w:tc>
        <w:tc>
          <w:tcPr>
            <w:tcW w:type="dxa" w:w="2484"/>
            <w:tcMar>
              <w:top w:w="80" w:type="dxa"/>
              <w:start w:w="100" w:type="dxa"/>
              <w:bottom w:w="80" w:type="dxa"/>
              <w:end w:w="100" w:type="dxa"/>
            </w:tcMar>
            <w:vAlign w:val="center"/>
          </w:tcPr>
          <w:p>
            <w:r>
              <w:rPr>
                <w:rFonts w:ascii="Aptos" w:hAnsi="Aptos"/>
                <w:sz w:val="18"/>
              </w:rPr>
              <w:t>End date; next renewal date; notice period days; CAM month; TI deadline; escalation effective date; option notice deadline; milestone due date</w:t>
            </w:r>
          </w:p>
        </w:tc>
        <w:tc>
          <w:tcPr>
            <w:tcW w:type="dxa" w:w="2484"/>
            <w:tcMar>
              <w:top w:w="80" w:type="dxa"/>
              <w:start w:w="100" w:type="dxa"/>
              <w:bottom w:w="80" w:type="dxa"/>
              <w:end w:w="100" w:type="dxa"/>
            </w:tcMar>
            <w:vAlign w:val="center"/>
          </w:tcPr>
          <w:p>
            <w:r>
              <w:rPr>
                <w:rFonts w:ascii="Aptos" w:hAnsi="Aptos"/>
                <w:sz w:val="18"/>
              </w:rPr>
              <w:t>Usually yes when the related alert family is applicable</w:t>
            </w:r>
          </w:p>
        </w:tc>
      </w:tr>
      <w:tr>
        <w:tc>
          <w:tcPr>
            <w:tcW w:type="dxa" w:w="2484"/>
            <w:tcMar>
              <w:top w:w="80" w:type="dxa"/>
              <w:start w:w="100" w:type="dxa"/>
              <w:bottom w:w="80" w:type="dxa"/>
              <w:end w:w="100" w:type="dxa"/>
            </w:tcMar>
            <w:vAlign w:val="center"/>
          </w:tcPr>
          <w:p>
            <w:r>
              <w:rPr>
                <w:rFonts w:ascii="Aptos" w:hAnsi="Aptos"/>
                <w:sz w:val="18"/>
              </w:rPr>
              <w:t>Alert-governing extracted fields</w:t>
            </w:r>
          </w:p>
        </w:tc>
        <w:tc>
          <w:tcPr>
            <w:tcW w:type="dxa" w:w="2484"/>
            <w:tcMar>
              <w:top w:w="80" w:type="dxa"/>
              <w:start w:w="100" w:type="dxa"/>
              <w:bottom w:w="80" w:type="dxa"/>
              <w:end w:w="100" w:type="dxa"/>
            </w:tcMar>
            <w:vAlign w:val="center"/>
          </w:tcPr>
          <w:p>
            <w:r>
              <w:rPr>
                <w:rFonts w:ascii="Aptos" w:hAnsi="Aptos"/>
                <w:sz w:val="18"/>
              </w:rPr>
              <w:t>Determine whether an alert family runs or how it computes dates</w:t>
            </w:r>
          </w:p>
        </w:tc>
        <w:tc>
          <w:tcPr>
            <w:tcW w:type="dxa" w:w="2484"/>
            <w:tcMar>
              <w:top w:w="80" w:type="dxa"/>
              <w:start w:w="100" w:type="dxa"/>
              <w:bottom w:w="80" w:type="dxa"/>
              <w:end w:w="100" w:type="dxa"/>
            </w:tcMar>
            <w:vAlign w:val="center"/>
          </w:tcPr>
          <w:p>
            <w:r>
              <w:rPr>
                <w:rFonts w:ascii="Aptos" w:hAnsi="Aptos"/>
                <w:sz w:val="18"/>
              </w:rPr>
              <w:t>Auto-renews; contract type; milestone recurring flag; milestone recurrence interval</w:t>
            </w:r>
          </w:p>
        </w:tc>
        <w:tc>
          <w:tcPr>
            <w:tcW w:type="dxa" w:w="2484"/>
            <w:tcMar>
              <w:top w:w="80" w:type="dxa"/>
              <w:start w:w="100" w:type="dxa"/>
              <w:bottom w:w="80" w:type="dxa"/>
              <w:end w:w="100" w:type="dxa"/>
            </w:tcMar>
            <w:vAlign w:val="center"/>
          </w:tcPr>
          <w:p>
            <w:r>
              <w:rPr>
                <w:rFonts w:ascii="Aptos" w:hAnsi="Aptos"/>
                <w:sz w:val="18"/>
              </w:rPr>
              <w:t>Yes when downstream logic depends on the field</w:t>
            </w:r>
          </w:p>
        </w:tc>
      </w:tr>
      <w:tr>
        <w:tc>
          <w:tcPr>
            <w:tcW w:type="dxa" w:w="2484"/>
            <w:tcMar>
              <w:top w:w="80" w:type="dxa"/>
              <w:start w:w="100" w:type="dxa"/>
              <w:bottom w:w="80" w:type="dxa"/>
              <w:end w:w="100" w:type="dxa"/>
            </w:tcMar>
            <w:vAlign w:val="center"/>
          </w:tcPr>
          <w:p>
            <w:r>
              <w:rPr>
                <w:rFonts w:ascii="Aptos" w:hAnsi="Aptos"/>
                <w:sz w:val="18"/>
              </w:rPr>
              <w:t>Contextual extracted fields</w:t>
            </w:r>
          </w:p>
        </w:tc>
        <w:tc>
          <w:tcPr>
            <w:tcW w:type="dxa" w:w="2484"/>
            <w:tcMar>
              <w:top w:w="80" w:type="dxa"/>
              <w:start w:w="100" w:type="dxa"/>
              <w:bottom w:w="80" w:type="dxa"/>
              <w:end w:w="100" w:type="dxa"/>
            </w:tcMar>
            <w:vAlign w:val="center"/>
          </w:tcPr>
          <w:p>
            <w:r>
              <w:rPr>
                <w:rFonts w:ascii="Aptos" w:hAnsi="Aptos"/>
                <w:sz w:val="18"/>
              </w:rPr>
              <w:t>Stored and shown, but not currently used to schedule alerts by itself</w:t>
            </w:r>
          </w:p>
        </w:tc>
        <w:tc>
          <w:tcPr>
            <w:tcW w:type="dxa" w:w="2484"/>
            <w:tcMar>
              <w:top w:w="80" w:type="dxa"/>
              <w:start w:w="100" w:type="dxa"/>
              <w:bottom w:w="80" w:type="dxa"/>
              <w:end w:w="100" w:type="dxa"/>
            </w:tcMar>
            <w:vAlign w:val="center"/>
          </w:tcPr>
          <w:p>
            <w:r>
              <w:rPr>
                <w:rFonts w:ascii="Aptos" w:hAnsi="Aptos"/>
                <w:sz w:val="18"/>
              </w:rPr>
              <w:t>Percentage rent report date; option exercise deadline</w:t>
            </w:r>
          </w:p>
        </w:tc>
        <w:tc>
          <w:tcPr>
            <w:tcW w:type="dxa" w:w="2484"/>
            <w:tcMar>
              <w:top w:w="80" w:type="dxa"/>
              <w:start w:w="100" w:type="dxa"/>
              <w:bottom w:w="80" w:type="dxa"/>
              <w:end w:w="100" w:type="dxa"/>
            </w:tcMar>
            <w:vAlign w:val="center"/>
          </w:tcPr>
          <w:p>
            <w:r>
              <w:rPr>
                <w:rFonts w:ascii="Aptos" w:hAnsi="Aptos"/>
                <w:sz w:val="18"/>
              </w:rPr>
              <w:t>No</w:t>
            </w:r>
          </w:p>
        </w:tc>
      </w:tr>
      <w:tr>
        <w:tc>
          <w:tcPr>
            <w:tcW w:type="dxa" w:w="2484"/>
            <w:tcMar>
              <w:top w:w="80" w:type="dxa"/>
              <w:start w:w="100" w:type="dxa"/>
              <w:bottom w:w="80" w:type="dxa"/>
              <w:end w:w="100" w:type="dxa"/>
            </w:tcMar>
            <w:vAlign w:val="center"/>
          </w:tcPr>
          <w:p>
            <w:r>
              <w:rPr>
                <w:rFonts w:ascii="Aptos" w:hAnsi="Aptos"/>
                <w:sz w:val="18"/>
              </w:rPr>
              <w:t>App-managed fields</w:t>
            </w:r>
          </w:p>
        </w:tc>
        <w:tc>
          <w:tcPr>
            <w:tcW w:type="dxa" w:w="2484"/>
            <w:tcMar>
              <w:top w:w="80" w:type="dxa"/>
              <w:start w:w="100" w:type="dxa"/>
              <w:bottom w:w="80" w:type="dxa"/>
              <w:end w:w="100" w:type="dxa"/>
            </w:tcMar>
            <w:vAlign w:val="center"/>
          </w:tcPr>
          <w:p>
            <w:r>
              <w:rPr>
                <w:rFonts w:ascii="Aptos" w:hAnsi="Aptos"/>
                <w:sz w:val="18"/>
              </w:rPr>
              <w:t>System-owned values outside extraction readiness</w:t>
            </w:r>
          </w:p>
        </w:tc>
        <w:tc>
          <w:tcPr>
            <w:tcW w:type="dxa" w:w="2484"/>
            <w:tcMar>
              <w:top w:w="80" w:type="dxa"/>
              <w:start w:w="100" w:type="dxa"/>
              <w:bottom w:w="80" w:type="dxa"/>
              <w:end w:w="100" w:type="dxa"/>
            </w:tcMar>
            <w:vAlign w:val="center"/>
          </w:tcPr>
          <w:p>
            <w:r>
              <w:rPr>
                <w:rFonts w:ascii="Aptos" w:hAnsi="Aptos"/>
                <w:sz w:val="18"/>
              </w:rPr>
              <w:t>Status</w:t>
            </w:r>
          </w:p>
        </w:tc>
        <w:tc>
          <w:tcPr>
            <w:tcW w:type="dxa" w:w="2484"/>
            <w:tcMar>
              <w:top w:w="80" w:type="dxa"/>
              <w:start w:w="100" w:type="dxa"/>
              <w:bottom w:w="80" w:type="dxa"/>
              <w:end w:w="100" w:type="dxa"/>
            </w:tcMar>
            <w:vAlign w:val="center"/>
          </w:tcPr>
          <w:p>
            <w:r>
              <w:rPr>
                <w:rFonts w:ascii="Aptos" w:hAnsi="Aptos"/>
                <w:sz w:val="18"/>
              </w:rPr>
              <w:t>No, but operationally suppresses alerts when expired/cancelled</w:t>
            </w:r>
          </w:p>
        </w:tc>
      </w:tr>
    </w:tbl>
    <w:p>
      <w:pPr>
        <w:pStyle w:val="Heading2"/>
      </w:pPr>
      <w:r>
        <w:t>4.1 Canonical Contract Record</w:t>
      </w:r>
    </w:p>
    <w:p>
      <w:r>
        <w:t>The canonical record may include more fields than the activation gate requires. PactBadger should persist the full extracted record, not just the minimum reminder inputs. The record should include general contract fields, lease-specific operational fields, derived alert dates, and app-managed status fields.</w:t>
      </w:r>
    </w:p>
    <w:p>
      <w:pPr>
        <w:ind w:left="360" w:hanging="216"/>
      </w:pPr>
      <w:r>
        <w:rPr>
          <w:b/>
        </w:rPr>
        <w:t xml:space="preserve">• </w:t>
      </w:r>
      <w:r>
        <w:t>General contract fields: title, counterparty, property / premises, contract type, direction, status, start date, end date, next renewal date, auto renews, notice period days, monthly value, total contract value.</w:t>
      </w:r>
    </w:p>
    <w:p>
      <w:pPr>
        <w:ind w:left="360" w:hanging="216"/>
      </w:pPr>
      <w:r>
        <w:rPr>
          <w:b/>
        </w:rPr>
        <w:t xml:space="preserve">• </w:t>
      </w:r>
      <w:r>
        <w:t>Lease-specific operational fields: CAM reconciliation month, TI deadline, percentage rent report date, rent escalation effective dates, option notice deadlines, option exercise deadlines, milestone due dates, milestone recurrence settings.</w:t>
      </w:r>
    </w:p>
    <w:p>
      <w:pPr>
        <w:ind w:left="360" w:hanging="216"/>
      </w:pPr>
      <w:r>
        <w:rPr>
          <w:b/>
        </w:rPr>
        <w:t xml:space="preserve">• </w:t>
      </w:r>
      <w:r>
        <w:t>Derived values: notice period start date, CAM reconciliation alert date, recurring milestone next occurrence date, next renewal date fallback from end date when allowed.</w:t>
      </w:r>
    </w:p>
    <w:p>
      <w:pPr>
        <w:pStyle w:val="Heading1"/>
      </w:pPr>
      <w:r>
        <w:t>5. Alert Wiring Reference</w:t>
      </w:r>
    </w:p>
    <w:p>
      <w:r>
        <w:t>Engineering needs an explicit reference between extracted fields and alert families. The table below is the normative product-level wiring reference for MVP and near-term lease intelligence support.</w:t>
      </w:r>
    </w:p>
    <w:p>
      <w:pPr>
        <w:sectPr>
          <w:pgSz w:w="12240" w:h="15840"/>
          <w:pgMar w:top="1008" w:right="1152" w:bottom="936" w:left="1152" w:header="720" w:footer="720" w:gutter="0"/>
          <w:cols w:space="720"/>
          <w:docGrid w:linePitch="360"/>
        </w:sectPr>
      </w:pPr>
    </w:p>
    <w:p>
      <w:pPr>
        <w:pStyle w:val="Heading2"/>
      </w:pPr>
      <w:r>
        <w:t>5.1 Field-to-Alert Mapping Table</w:t>
      </w:r>
    </w:p>
    <w:tbl>
      <w:tblPr>
        <w:tblStyle w:val="TableGrid"/>
        <w:tblW w:type="auto" w:w="0"/>
        <w:jc w:val="left"/>
        <w:tblLook w:firstColumn="1" w:firstRow="1" w:lastColumn="0" w:lastRow="0" w:noHBand="0" w:noVBand="1" w:val="04A0"/>
      </w:tblPr>
      <w:tblGrid>
        <w:gridCol w:w="2851"/>
        <w:gridCol w:w="2851"/>
        <w:gridCol w:w="2851"/>
        <w:gridCol w:w="2851"/>
        <w:gridCol w:w="2851"/>
      </w:tblGrid>
      <w:tr>
        <w:trPr>
          <w:tblHeader w:val="true"/>
        </w:trPr>
        <w:tc>
          <w:tcPr>
            <w:tcW w:type="dxa" w:w="2851"/>
            <w:shd w:fill="EAF4EF"/>
            <w:tcMar>
              <w:top w:w="80" w:type="dxa"/>
              <w:start w:w="100" w:type="dxa"/>
              <w:bottom w:w="80" w:type="dxa"/>
              <w:end w:w="100" w:type="dxa"/>
            </w:tcMar>
          </w:tcPr>
          <w:p>
            <w:r>
              <w:rPr>
                <w:rFonts w:ascii="Aptos" w:hAnsi="Aptos"/>
                <w:b/>
                <w:color w:val="165740"/>
                <w:sz w:val="17"/>
              </w:rPr>
              <w:t>Field / Value</w:t>
            </w:r>
          </w:p>
        </w:tc>
        <w:tc>
          <w:tcPr>
            <w:tcW w:type="dxa" w:w="2851"/>
            <w:shd w:fill="EAF4EF"/>
            <w:tcMar>
              <w:top w:w="80" w:type="dxa"/>
              <w:start w:w="100" w:type="dxa"/>
              <w:bottom w:w="80" w:type="dxa"/>
              <w:end w:w="100" w:type="dxa"/>
            </w:tcMar>
          </w:tcPr>
          <w:p>
            <w:r>
              <w:rPr>
                <w:rFonts w:ascii="Aptos" w:hAnsi="Aptos"/>
                <w:b/>
                <w:color w:val="165740"/>
                <w:sz w:val="17"/>
              </w:rPr>
              <w:t>Type</w:t>
            </w:r>
          </w:p>
        </w:tc>
        <w:tc>
          <w:tcPr>
            <w:tcW w:type="dxa" w:w="2851"/>
            <w:shd w:fill="EAF4EF"/>
            <w:tcMar>
              <w:top w:w="80" w:type="dxa"/>
              <w:start w:w="100" w:type="dxa"/>
              <w:bottom w:w="80" w:type="dxa"/>
              <w:end w:w="100" w:type="dxa"/>
            </w:tcMar>
          </w:tcPr>
          <w:p>
            <w:r>
              <w:rPr>
                <w:rFonts w:ascii="Aptos" w:hAnsi="Aptos"/>
                <w:b/>
                <w:color w:val="165740"/>
                <w:sz w:val="17"/>
              </w:rPr>
              <w:t>Alert Types</w:t>
            </w:r>
          </w:p>
        </w:tc>
        <w:tc>
          <w:tcPr>
            <w:tcW w:type="dxa" w:w="2851"/>
            <w:shd w:fill="EAF4EF"/>
            <w:tcMar>
              <w:top w:w="80" w:type="dxa"/>
              <w:start w:w="100" w:type="dxa"/>
              <w:bottom w:w="80" w:type="dxa"/>
              <w:end w:w="100" w:type="dxa"/>
            </w:tcMar>
          </w:tcPr>
          <w:p>
            <w:r>
              <w:rPr>
                <w:rFonts w:ascii="Aptos" w:hAnsi="Aptos"/>
                <w:b/>
                <w:color w:val="165740"/>
                <w:sz w:val="17"/>
              </w:rPr>
              <w:t>Blocks Activation?</w:t>
            </w:r>
          </w:p>
        </w:tc>
        <w:tc>
          <w:tcPr>
            <w:tcW w:type="dxa" w:w="2851"/>
            <w:shd w:fill="EAF4EF"/>
            <w:tcMar>
              <w:top w:w="80" w:type="dxa"/>
              <w:start w:w="100" w:type="dxa"/>
              <w:bottom w:w="80" w:type="dxa"/>
              <w:end w:w="100" w:type="dxa"/>
            </w:tcMar>
          </w:tcPr>
          <w:p>
            <w:r>
              <w:rPr>
                <w:rFonts w:ascii="Aptos" w:hAnsi="Aptos"/>
                <w:b/>
                <w:color w:val="165740"/>
                <w:sz w:val="17"/>
              </w:rPr>
              <w:t>Notes</w:t>
            </w:r>
          </w:p>
        </w:tc>
      </w:tr>
      <w:tr>
        <w:tc>
          <w:tcPr>
            <w:tcW w:type="dxa" w:w="2851"/>
            <w:tcMar>
              <w:top w:w="70" w:type="dxa"/>
              <w:start w:w="100" w:type="dxa"/>
              <w:bottom w:w="70" w:type="dxa"/>
              <w:end w:w="100" w:type="dxa"/>
            </w:tcMar>
            <w:vAlign w:val="center"/>
          </w:tcPr>
          <w:p>
            <w:r>
              <w:rPr>
                <w:rFonts w:ascii="Aptos" w:hAnsi="Aptos"/>
                <w:sz w:val="17"/>
              </w:rPr>
              <w:t>Contract.end_date</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expiry_warning; notice_period_start</w:t>
            </w:r>
          </w:p>
        </w:tc>
        <w:tc>
          <w:tcPr>
            <w:tcW w:type="dxa" w:w="2851"/>
            <w:tcMar>
              <w:top w:w="70" w:type="dxa"/>
              <w:start w:w="100" w:type="dxa"/>
              <w:bottom w:w="70" w:type="dxa"/>
              <w:end w:w="100" w:type="dxa"/>
            </w:tcMar>
            <w:vAlign w:val="center"/>
          </w:tcPr>
          <w:p>
            <w:r>
              <w:rPr>
                <w:rFonts w:ascii="Aptos" w:hAnsi="Aptos"/>
                <w:sz w:val="17"/>
              </w:rPr>
              <w:t>Yes</w:t>
            </w:r>
          </w:p>
        </w:tc>
        <w:tc>
          <w:tcPr>
            <w:tcW w:type="dxa" w:w="2851"/>
            <w:tcMar>
              <w:top w:w="70" w:type="dxa"/>
              <w:start w:w="100" w:type="dxa"/>
              <w:bottom w:w="70" w:type="dxa"/>
              <w:end w:w="100" w:type="dxa"/>
            </w:tcMar>
            <w:vAlign w:val="center"/>
          </w:tcPr>
          <w:p>
            <w:r>
              <w:rPr>
                <w:rFonts w:ascii="Aptos" w:hAnsi="Aptos"/>
                <w:sz w:val="17"/>
              </w:rPr>
              <w:t>Base deadline. Also serves as fallback reference date for notice logic.</w:t>
            </w:r>
          </w:p>
        </w:tc>
      </w:tr>
      <w:tr>
        <w:tc>
          <w:tcPr>
            <w:tcW w:type="dxa" w:w="2851"/>
            <w:tcMar>
              <w:top w:w="70" w:type="dxa"/>
              <w:start w:w="100" w:type="dxa"/>
              <w:bottom w:w="70" w:type="dxa"/>
              <w:end w:w="100" w:type="dxa"/>
            </w:tcMar>
            <w:vAlign w:val="center"/>
          </w:tcPr>
          <w:p>
            <w:r>
              <w:rPr>
                <w:rFonts w:ascii="Aptos" w:hAnsi="Aptos"/>
                <w:sz w:val="17"/>
              </w:rPr>
              <w:t>Contract.next_renewal_date</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renewal_upcoming; notice_period_start</w:t>
            </w:r>
          </w:p>
        </w:tc>
        <w:tc>
          <w:tcPr>
            <w:tcW w:type="dxa" w:w="2851"/>
            <w:tcMar>
              <w:top w:w="70" w:type="dxa"/>
              <w:start w:w="100" w:type="dxa"/>
              <w:bottom w:w="70" w:type="dxa"/>
              <w:end w:w="100" w:type="dxa"/>
            </w:tcMar>
            <w:vAlign w:val="center"/>
          </w:tcPr>
          <w:p>
            <w:r>
              <w:rPr>
                <w:rFonts w:ascii="Aptos" w:hAnsi="Aptos"/>
                <w:sz w:val="17"/>
              </w:rPr>
              <w:t>Yes when renewal workflow applies</w:t>
            </w:r>
          </w:p>
        </w:tc>
        <w:tc>
          <w:tcPr>
            <w:tcW w:type="dxa" w:w="2851"/>
            <w:tcMar>
              <w:top w:w="70" w:type="dxa"/>
              <w:start w:w="100" w:type="dxa"/>
              <w:bottom w:w="70" w:type="dxa"/>
              <w:end w:w="100" w:type="dxa"/>
            </w:tcMar>
            <w:vAlign w:val="center"/>
          </w:tcPr>
          <w:p>
            <w:r>
              <w:rPr>
                <w:rFonts w:ascii="Aptos" w:hAnsi="Aptos"/>
                <w:sz w:val="17"/>
              </w:rPr>
              <w:t>Usually extracted; may be backfilled only under explicit rules.</w:t>
            </w:r>
          </w:p>
        </w:tc>
      </w:tr>
      <w:tr>
        <w:tc>
          <w:tcPr>
            <w:tcW w:type="dxa" w:w="2851"/>
            <w:tcMar>
              <w:top w:w="70" w:type="dxa"/>
              <w:start w:w="100" w:type="dxa"/>
              <w:bottom w:w="70" w:type="dxa"/>
              <w:end w:w="100" w:type="dxa"/>
            </w:tcMar>
            <w:vAlign w:val="center"/>
          </w:tcPr>
          <w:p>
            <w:r>
              <w:rPr>
                <w:rFonts w:ascii="Aptos" w:hAnsi="Aptos"/>
                <w:sz w:val="17"/>
              </w:rPr>
              <w:t>Contract.auto_renews</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w:t>
            </w:r>
          </w:p>
        </w:tc>
        <w:tc>
          <w:tcPr>
            <w:tcW w:type="dxa" w:w="2851"/>
            <w:tcMar>
              <w:top w:w="70" w:type="dxa"/>
              <w:start w:w="100" w:type="dxa"/>
              <w:bottom w:w="70" w:type="dxa"/>
              <w:end w:w="100" w:type="dxa"/>
            </w:tcMar>
            <w:vAlign w:val="center"/>
          </w:tcPr>
          <w:p>
            <w:r>
              <w:rPr>
                <w:rFonts w:ascii="Aptos" w:hAnsi="Aptos"/>
                <w:sz w:val="17"/>
              </w:rPr>
              <w:t>Yes when renewal fallback logic depends on it</w:t>
            </w:r>
          </w:p>
        </w:tc>
        <w:tc>
          <w:tcPr>
            <w:tcW w:type="dxa" w:w="2851"/>
            <w:tcMar>
              <w:top w:w="70" w:type="dxa"/>
              <w:start w:w="100" w:type="dxa"/>
              <w:bottom w:w="70" w:type="dxa"/>
              <w:end w:w="100" w:type="dxa"/>
            </w:tcMar>
            <w:vAlign w:val="center"/>
          </w:tcPr>
          <w:p>
            <w:r>
              <w:rPr>
                <w:rFonts w:ascii="Aptos" w:hAnsi="Aptos"/>
                <w:sz w:val="17"/>
              </w:rPr>
              <w:t>Governs whether fallback next renewal date may be derived from end date.</w:t>
            </w:r>
          </w:p>
        </w:tc>
      </w:tr>
      <w:tr>
        <w:tc>
          <w:tcPr>
            <w:tcW w:type="dxa" w:w="2851"/>
            <w:tcMar>
              <w:top w:w="70" w:type="dxa"/>
              <w:start w:w="100" w:type="dxa"/>
              <w:bottom w:w="70" w:type="dxa"/>
              <w:end w:w="100" w:type="dxa"/>
            </w:tcMar>
            <w:vAlign w:val="center"/>
          </w:tcPr>
          <w:p>
            <w:r>
              <w:rPr>
                <w:rFonts w:ascii="Aptos" w:hAnsi="Aptos"/>
                <w:sz w:val="17"/>
              </w:rPr>
              <w:t>Contract.notice_period_days</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notice_period_start</w:t>
            </w:r>
          </w:p>
        </w:tc>
        <w:tc>
          <w:tcPr>
            <w:tcW w:type="dxa" w:w="2851"/>
            <w:tcMar>
              <w:top w:w="70" w:type="dxa"/>
              <w:start w:w="100" w:type="dxa"/>
              <w:bottom w:w="70" w:type="dxa"/>
              <w:end w:w="100" w:type="dxa"/>
            </w:tcMar>
            <w:vAlign w:val="center"/>
          </w:tcPr>
          <w:p>
            <w:r>
              <w:rPr>
                <w:rFonts w:ascii="Aptos" w:hAnsi="Aptos"/>
                <w:sz w:val="17"/>
              </w:rPr>
              <w:t>Yes when notice alerts apply</w:t>
            </w:r>
          </w:p>
        </w:tc>
        <w:tc>
          <w:tcPr>
            <w:tcW w:type="dxa" w:w="2851"/>
            <w:tcMar>
              <w:top w:w="70" w:type="dxa"/>
              <w:start w:w="100" w:type="dxa"/>
              <w:bottom w:w="70" w:type="dxa"/>
              <w:end w:w="100" w:type="dxa"/>
            </w:tcMar>
            <w:vAlign w:val="center"/>
          </w:tcPr>
          <w:p>
            <w:r>
              <w:rPr>
                <w:rFonts w:ascii="Aptos" w:hAnsi="Aptos"/>
                <w:sz w:val="17"/>
              </w:rPr>
              <w:t>Used to compute notice-period start date.</w:t>
            </w:r>
          </w:p>
        </w:tc>
      </w:tr>
      <w:tr>
        <w:tc>
          <w:tcPr>
            <w:tcW w:type="dxa" w:w="2851"/>
            <w:tcMar>
              <w:top w:w="70" w:type="dxa"/>
              <w:start w:w="100" w:type="dxa"/>
              <w:bottom w:w="70" w:type="dxa"/>
              <w:end w:w="100" w:type="dxa"/>
            </w:tcMar>
            <w:vAlign w:val="center"/>
          </w:tcPr>
          <w:p>
            <w:r>
              <w:rPr>
                <w:rFonts w:ascii="Aptos" w:hAnsi="Aptos"/>
                <w:sz w:val="17"/>
              </w:rPr>
              <w:t>Contract.contract_type</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option_exercise_deadline; rent_escalation_date; cam_reconciliation; ti_deadline; milestone_reminder</w:t>
            </w:r>
          </w:p>
        </w:tc>
        <w:tc>
          <w:tcPr>
            <w:tcW w:type="dxa" w:w="2851"/>
            <w:tcMar>
              <w:top w:w="70" w:type="dxa"/>
              <w:start w:w="100" w:type="dxa"/>
              <w:bottom w:w="70" w:type="dxa"/>
              <w:end w:w="100" w:type="dxa"/>
            </w:tcMar>
            <w:vAlign w:val="center"/>
          </w:tcPr>
          <w:p>
            <w:r>
              <w:rPr>
                <w:rFonts w:ascii="Aptos" w:hAnsi="Aptos"/>
                <w:sz w:val="17"/>
              </w:rPr>
              <w:t>Yes for lease-specific alert families</w:t>
            </w:r>
          </w:p>
        </w:tc>
        <w:tc>
          <w:tcPr>
            <w:tcW w:type="dxa" w:w="2851"/>
            <w:tcMar>
              <w:top w:w="70" w:type="dxa"/>
              <w:start w:w="100" w:type="dxa"/>
              <w:bottom w:w="70" w:type="dxa"/>
              <w:end w:w="100" w:type="dxa"/>
            </w:tcMar>
            <w:vAlign w:val="center"/>
          </w:tcPr>
          <w:p>
            <w:r>
              <w:rPr>
                <w:rFonts w:ascii="Aptos" w:hAnsi="Aptos"/>
                <w:sz w:val="17"/>
              </w:rPr>
              <w:t>Lease-only alert families must not activate unless the contract is classified as lease.</w:t>
            </w:r>
          </w:p>
        </w:tc>
      </w:tr>
      <w:tr>
        <w:tc>
          <w:tcPr>
            <w:tcW w:type="dxa" w:w="2851"/>
            <w:tcMar>
              <w:top w:w="70" w:type="dxa"/>
              <w:start w:w="100" w:type="dxa"/>
              <w:bottom w:w="70" w:type="dxa"/>
              <w:end w:w="100" w:type="dxa"/>
            </w:tcMar>
            <w:vAlign w:val="center"/>
          </w:tcPr>
          <w:p>
            <w:r>
              <w:rPr>
                <w:rFonts w:ascii="Aptos" w:hAnsi="Aptos"/>
                <w:sz w:val="17"/>
              </w:rPr>
              <w:t>LeaseDetail.cam_reconciliation_month</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cam_reconciliation</w:t>
            </w:r>
          </w:p>
        </w:tc>
        <w:tc>
          <w:tcPr>
            <w:tcW w:type="dxa" w:w="2851"/>
            <w:tcMar>
              <w:top w:w="70" w:type="dxa"/>
              <w:start w:w="100" w:type="dxa"/>
              <w:bottom w:w="70" w:type="dxa"/>
              <w:end w:w="100" w:type="dxa"/>
            </w:tcMar>
            <w:vAlign w:val="center"/>
          </w:tcPr>
          <w:p>
            <w:r>
              <w:rPr>
                <w:rFonts w:ascii="Aptos" w:hAnsi="Aptos"/>
                <w:sz w:val="17"/>
              </w:rPr>
              <w:t>Yes when present / expected</w:t>
            </w:r>
          </w:p>
        </w:tc>
        <w:tc>
          <w:tcPr>
            <w:tcW w:type="dxa" w:w="2851"/>
            <w:tcMar>
              <w:top w:w="70" w:type="dxa"/>
              <w:start w:w="100" w:type="dxa"/>
              <w:bottom w:w="70" w:type="dxa"/>
              <w:end w:w="100" w:type="dxa"/>
            </w:tcMar>
            <w:vAlign w:val="center"/>
          </w:tcPr>
          <w:p>
            <w:r>
              <w:rPr>
                <w:rFonts w:ascii="Aptos" w:hAnsi="Aptos"/>
                <w:sz w:val="17"/>
              </w:rPr>
              <w:t>Computes next calendar occurrence for CAM alerting.</w:t>
            </w:r>
          </w:p>
        </w:tc>
      </w:tr>
      <w:tr>
        <w:tc>
          <w:tcPr>
            <w:tcW w:type="dxa" w:w="2851"/>
            <w:tcMar>
              <w:top w:w="70" w:type="dxa"/>
              <w:start w:w="100" w:type="dxa"/>
              <w:bottom w:w="70" w:type="dxa"/>
              <w:end w:w="100" w:type="dxa"/>
            </w:tcMar>
            <w:vAlign w:val="center"/>
          </w:tcPr>
          <w:p>
            <w:r>
              <w:rPr>
                <w:rFonts w:ascii="Aptos" w:hAnsi="Aptos"/>
                <w:sz w:val="17"/>
              </w:rPr>
              <w:t>LeaseDetail.ti_deadline</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ti_deadline</w:t>
            </w:r>
          </w:p>
        </w:tc>
        <w:tc>
          <w:tcPr>
            <w:tcW w:type="dxa" w:w="2851"/>
            <w:tcMar>
              <w:top w:w="70" w:type="dxa"/>
              <w:start w:w="100" w:type="dxa"/>
              <w:bottom w:w="70" w:type="dxa"/>
              <w:end w:w="100" w:type="dxa"/>
            </w:tcMar>
            <w:vAlign w:val="center"/>
          </w:tcPr>
          <w:p>
            <w:r>
              <w:rPr>
                <w:rFonts w:ascii="Aptos" w:hAnsi="Aptos"/>
                <w:sz w:val="17"/>
              </w:rPr>
              <w:t>Yes when present / expected</w:t>
            </w:r>
          </w:p>
        </w:tc>
        <w:tc>
          <w:tcPr>
            <w:tcW w:type="dxa" w:w="2851"/>
            <w:tcMar>
              <w:top w:w="70" w:type="dxa"/>
              <w:start w:w="100" w:type="dxa"/>
              <w:bottom w:w="70" w:type="dxa"/>
              <w:end w:w="100" w:type="dxa"/>
            </w:tcMar>
            <w:vAlign w:val="center"/>
          </w:tcPr>
          <w:p>
            <w:r>
              <w:rPr>
                <w:rFonts w:ascii="Aptos" w:hAnsi="Aptos"/>
                <w:sz w:val="17"/>
              </w:rPr>
              <w:t>Lease-only date field.</w:t>
            </w:r>
          </w:p>
        </w:tc>
      </w:tr>
      <w:tr>
        <w:tc>
          <w:tcPr>
            <w:tcW w:type="dxa" w:w="2851"/>
            <w:tcMar>
              <w:top w:w="70" w:type="dxa"/>
              <w:start w:w="100" w:type="dxa"/>
              <w:bottom w:w="70" w:type="dxa"/>
              <w:end w:w="100" w:type="dxa"/>
            </w:tcMar>
            <w:vAlign w:val="center"/>
          </w:tcPr>
          <w:p>
            <w:r>
              <w:rPr>
                <w:rFonts w:ascii="Aptos" w:hAnsi="Aptos"/>
                <w:sz w:val="17"/>
              </w:rPr>
              <w:t>LeaseDetail.percentage_rent_report_date</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w:t>
            </w:r>
          </w:p>
        </w:tc>
        <w:tc>
          <w:tcPr>
            <w:tcW w:type="dxa" w:w="2851"/>
            <w:tcMar>
              <w:top w:w="70" w:type="dxa"/>
              <w:start w:w="100" w:type="dxa"/>
              <w:bottom w:w="70" w:type="dxa"/>
              <w:end w:w="100" w:type="dxa"/>
            </w:tcMar>
            <w:vAlign w:val="center"/>
          </w:tcPr>
          <w:p>
            <w:r>
              <w:rPr>
                <w:rFonts w:ascii="Aptos" w:hAnsi="Aptos"/>
                <w:sz w:val="17"/>
              </w:rPr>
              <w:t>No</w:t>
            </w:r>
          </w:p>
        </w:tc>
        <w:tc>
          <w:tcPr>
            <w:tcW w:type="dxa" w:w="2851"/>
            <w:tcMar>
              <w:top w:w="70" w:type="dxa"/>
              <w:start w:w="100" w:type="dxa"/>
              <w:bottom w:w="70" w:type="dxa"/>
              <w:end w:w="100" w:type="dxa"/>
            </w:tcMar>
            <w:vAlign w:val="center"/>
          </w:tcPr>
          <w:p>
            <w:r>
              <w:rPr>
                <w:rFonts w:ascii="Aptos" w:hAnsi="Aptos"/>
                <w:sz w:val="17"/>
              </w:rPr>
              <w:t>Stored and reviewable; not currently used by alert generation.</w:t>
            </w:r>
          </w:p>
        </w:tc>
      </w:tr>
      <w:tr>
        <w:tc>
          <w:tcPr>
            <w:tcW w:type="dxa" w:w="2851"/>
            <w:tcMar>
              <w:top w:w="70" w:type="dxa"/>
              <w:start w:w="100" w:type="dxa"/>
              <w:bottom w:w="70" w:type="dxa"/>
              <w:end w:w="100" w:type="dxa"/>
            </w:tcMar>
            <w:vAlign w:val="center"/>
          </w:tcPr>
          <w:p>
            <w:r>
              <w:rPr>
                <w:rFonts w:ascii="Aptos" w:hAnsi="Aptos"/>
                <w:sz w:val="17"/>
              </w:rPr>
              <w:t>RentEscalation.effective_date</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rent_escalation_date</w:t>
            </w:r>
          </w:p>
        </w:tc>
        <w:tc>
          <w:tcPr>
            <w:tcW w:type="dxa" w:w="2851"/>
            <w:tcMar>
              <w:top w:w="70" w:type="dxa"/>
              <w:start w:w="100" w:type="dxa"/>
              <w:bottom w:w="70" w:type="dxa"/>
              <w:end w:w="100" w:type="dxa"/>
            </w:tcMar>
            <w:vAlign w:val="center"/>
          </w:tcPr>
          <w:p>
            <w:r>
              <w:rPr>
                <w:rFonts w:ascii="Aptos" w:hAnsi="Aptos"/>
                <w:sz w:val="17"/>
              </w:rPr>
              <w:t>Yes when future escalation exists</w:t>
            </w:r>
          </w:p>
        </w:tc>
        <w:tc>
          <w:tcPr>
            <w:tcW w:type="dxa" w:w="2851"/>
            <w:tcMar>
              <w:top w:w="70" w:type="dxa"/>
              <w:start w:w="100" w:type="dxa"/>
              <w:bottom w:w="70" w:type="dxa"/>
              <w:end w:w="100" w:type="dxa"/>
            </w:tcMar>
            <w:vAlign w:val="center"/>
          </w:tcPr>
          <w:p>
            <w:r>
              <w:rPr>
                <w:rFonts w:ascii="Aptos" w:hAnsi="Aptos"/>
                <w:sz w:val="17"/>
              </w:rPr>
              <w:t>Only future effective dates should produce alerts.</w:t>
            </w:r>
          </w:p>
        </w:tc>
      </w:tr>
      <w:tr>
        <w:tc>
          <w:tcPr>
            <w:tcW w:type="dxa" w:w="2851"/>
            <w:tcMar>
              <w:top w:w="70" w:type="dxa"/>
              <w:start w:w="100" w:type="dxa"/>
              <w:bottom w:w="70" w:type="dxa"/>
              <w:end w:w="100" w:type="dxa"/>
            </w:tcMar>
            <w:vAlign w:val="center"/>
          </w:tcPr>
          <w:p>
            <w:r>
              <w:rPr>
                <w:rFonts w:ascii="Aptos" w:hAnsi="Aptos"/>
                <w:sz w:val="17"/>
              </w:rPr>
              <w:t>LeaseOption.notice_deadline</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option_exercise_deadline</w:t>
            </w:r>
          </w:p>
        </w:tc>
        <w:tc>
          <w:tcPr>
            <w:tcW w:type="dxa" w:w="2851"/>
            <w:tcMar>
              <w:top w:w="70" w:type="dxa"/>
              <w:start w:w="100" w:type="dxa"/>
              <w:bottom w:w="70" w:type="dxa"/>
              <w:end w:w="100" w:type="dxa"/>
            </w:tcMar>
            <w:vAlign w:val="center"/>
          </w:tcPr>
          <w:p>
            <w:r>
              <w:rPr>
                <w:rFonts w:ascii="Aptos" w:hAnsi="Aptos"/>
                <w:sz w:val="17"/>
              </w:rPr>
              <w:t>Yes when option exists</w:t>
            </w:r>
          </w:p>
        </w:tc>
        <w:tc>
          <w:tcPr>
            <w:tcW w:type="dxa" w:w="2851"/>
            <w:tcMar>
              <w:top w:w="70" w:type="dxa"/>
              <w:start w:w="100" w:type="dxa"/>
              <w:bottom w:w="70" w:type="dxa"/>
              <w:end w:w="100" w:type="dxa"/>
            </w:tcMar>
            <w:vAlign w:val="center"/>
          </w:tcPr>
          <w:p>
            <w:r>
              <w:rPr>
                <w:rFonts w:ascii="Aptos" w:hAnsi="Aptos"/>
                <w:sz w:val="17"/>
              </w:rPr>
              <w:t>Option-related date actually used for alerting.</w:t>
            </w:r>
          </w:p>
        </w:tc>
      </w:tr>
      <w:tr>
        <w:tc>
          <w:tcPr>
            <w:tcW w:type="dxa" w:w="2851"/>
            <w:tcMar>
              <w:top w:w="70" w:type="dxa"/>
              <w:start w:w="100" w:type="dxa"/>
              <w:bottom w:w="70" w:type="dxa"/>
              <w:end w:w="100" w:type="dxa"/>
            </w:tcMar>
            <w:vAlign w:val="center"/>
          </w:tcPr>
          <w:p>
            <w:r>
              <w:rPr>
                <w:rFonts w:ascii="Aptos" w:hAnsi="Aptos"/>
                <w:sz w:val="17"/>
              </w:rPr>
              <w:t>LeaseOption.exercise_deadline</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w:t>
            </w:r>
          </w:p>
        </w:tc>
        <w:tc>
          <w:tcPr>
            <w:tcW w:type="dxa" w:w="2851"/>
            <w:tcMar>
              <w:top w:w="70" w:type="dxa"/>
              <w:start w:w="100" w:type="dxa"/>
              <w:bottom w:w="70" w:type="dxa"/>
              <w:end w:w="100" w:type="dxa"/>
            </w:tcMar>
            <w:vAlign w:val="center"/>
          </w:tcPr>
          <w:p>
            <w:r>
              <w:rPr>
                <w:rFonts w:ascii="Aptos" w:hAnsi="Aptos"/>
                <w:sz w:val="17"/>
              </w:rPr>
              <w:t>No</w:t>
            </w:r>
          </w:p>
        </w:tc>
        <w:tc>
          <w:tcPr>
            <w:tcW w:type="dxa" w:w="2851"/>
            <w:tcMar>
              <w:top w:w="70" w:type="dxa"/>
              <w:start w:w="100" w:type="dxa"/>
              <w:bottom w:w="70" w:type="dxa"/>
              <w:end w:w="100" w:type="dxa"/>
            </w:tcMar>
            <w:vAlign w:val="center"/>
          </w:tcPr>
          <w:p>
            <w:r>
              <w:rPr>
                <w:rFonts w:ascii="Aptos" w:hAnsi="Aptos"/>
                <w:sz w:val="17"/>
              </w:rPr>
              <w:t>Stored and reviewable; not currently used by alert generation.</w:t>
            </w:r>
          </w:p>
        </w:tc>
      </w:tr>
      <w:tr>
        <w:tc>
          <w:tcPr>
            <w:tcW w:type="dxa" w:w="2851"/>
            <w:tcMar>
              <w:top w:w="70" w:type="dxa"/>
              <w:start w:w="100" w:type="dxa"/>
              <w:bottom w:w="70" w:type="dxa"/>
              <w:end w:w="100" w:type="dxa"/>
            </w:tcMar>
            <w:vAlign w:val="center"/>
          </w:tcPr>
          <w:p>
            <w:r>
              <w:rPr>
                <w:rFonts w:ascii="Aptos" w:hAnsi="Aptos"/>
                <w:sz w:val="17"/>
              </w:rPr>
              <w:t>LeaseMilestone.due_date</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milestone_reminder</w:t>
            </w:r>
          </w:p>
        </w:tc>
        <w:tc>
          <w:tcPr>
            <w:tcW w:type="dxa" w:w="2851"/>
            <w:tcMar>
              <w:top w:w="70" w:type="dxa"/>
              <w:start w:w="100" w:type="dxa"/>
              <w:bottom w:w="70" w:type="dxa"/>
              <w:end w:w="100" w:type="dxa"/>
            </w:tcMar>
            <w:vAlign w:val="center"/>
          </w:tcPr>
          <w:p>
            <w:r>
              <w:rPr>
                <w:rFonts w:ascii="Aptos" w:hAnsi="Aptos"/>
                <w:sz w:val="17"/>
              </w:rPr>
              <w:t>Yes when milestone exists</w:t>
            </w:r>
          </w:p>
        </w:tc>
        <w:tc>
          <w:tcPr>
            <w:tcW w:type="dxa" w:w="2851"/>
            <w:tcMar>
              <w:top w:w="70" w:type="dxa"/>
              <w:start w:w="100" w:type="dxa"/>
              <w:bottom w:w="70" w:type="dxa"/>
              <w:end w:w="100" w:type="dxa"/>
            </w:tcMar>
            <w:vAlign w:val="center"/>
          </w:tcPr>
          <w:p>
            <w:r>
              <w:rPr>
                <w:rFonts w:ascii="Aptos" w:hAnsi="Aptos"/>
                <w:sz w:val="17"/>
              </w:rPr>
              <w:t>Raw date input for milestone reminders.</w:t>
            </w:r>
          </w:p>
        </w:tc>
      </w:tr>
      <w:tr>
        <w:tc>
          <w:tcPr>
            <w:tcW w:type="dxa" w:w="2851"/>
            <w:tcMar>
              <w:top w:w="70" w:type="dxa"/>
              <w:start w:w="100" w:type="dxa"/>
              <w:bottom w:w="70" w:type="dxa"/>
              <w:end w:w="100" w:type="dxa"/>
            </w:tcMar>
            <w:vAlign w:val="center"/>
          </w:tcPr>
          <w:p>
            <w:r>
              <w:rPr>
                <w:rFonts w:ascii="Aptos" w:hAnsi="Aptos"/>
                <w:sz w:val="17"/>
              </w:rPr>
              <w:t>LeaseMilestone.recurring</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milestone_reminder</w:t>
            </w:r>
          </w:p>
        </w:tc>
        <w:tc>
          <w:tcPr>
            <w:tcW w:type="dxa" w:w="2851"/>
            <w:tcMar>
              <w:top w:w="70" w:type="dxa"/>
              <w:start w:w="100" w:type="dxa"/>
              <w:bottom w:w="70" w:type="dxa"/>
              <w:end w:w="100" w:type="dxa"/>
            </w:tcMar>
            <w:vAlign w:val="center"/>
          </w:tcPr>
          <w:p>
            <w:r>
              <w:rPr>
                <w:rFonts w:ascii="Aptos" w:hAnsi="Aptos"/>
                <w:sz w:val="17"/>
              </w:rPr>
              <w:t>Yes when milestone exists</w:t>
            </w:r>
          </w:p>
        </w:tc>
        <w:tc>
          <w:tcPr>
            <w:tcW w:type="dxa" w:w="2851"/>
            <w:tcMar>
              <w:top w:w="70" w:type="dxa"/>
              <w:start w:w="100" w:type="dxa"/>
              <w:bottom w:w="70" w:type="dxa"/>
              <w:end w:w="100" w:type="dxa"/>
            </w:tcMar>
            <w:vAlign w:val="center"/>
          </w:tcPr>
          <w:p>
            <w:r>
              <w:rPr>
                <w:rFonts w:ascii="Aptos" w:hAnsi="Aptos"/>
                <w:sz w:val="17"/>
              </w:rPr>
              <w:t>Changes whether recurring computation should be applied.</w:t>
            </w:r>
          </w:p>
        </w:tc>
      </w:tr>
      <w:tr>
        <w:tc>
          <w:tcPr>
            <w:tcW w:type="dxa" w:w="2851"/>
            <w:tcMar>
              <w:top w:w="70" w:type="dxa"/>
              <w:start w:w="100" w:type="dxa"/>
              <w:bottom w:w="70" w:type="dxa"/>
              <w:end w:w="100" w:type="dxa"/>
            </w:tcMar>
            <w:vAlign w:val="center"/>
          </w:tcPr>
          <w:p>
            <w:r>
              <w:rPr>
                <w:rFonts w:ascii="Aptos" w:hAnsi="Aptos"/>
                <w:sz w:val="17"/>
              </w:rPr>
              <w:t>LeaseMilestone.recurrence_interval</w:t>
            </w:r>
          </w:p>
        </w:tc>
        <w:tc>
          <w:tcPr>
            <w:tcW w:type="dxa" w:w="2851"/>
            <w:tcMar>
              <w:top w:w="70" w:type="dxa"/>
              <w:start w:w="100" w:type="dxa"/>
              <w:bottom w:w="70" w:type="dxa"/>
              <w:end w:w="100" w:type="dxa"/>
            </w:tcMar>
            <w:vAlign w:val="center"/>
          </w:tcPr>
          <w:p>
            <w:r>
              <w:rPr>
                <w:rFonts w:ascii="Aptos" w:hAnsi="Aptos"/>
                <w:sz w:val="17"/>
              </w:rPr>
              <w:t>Direct</w:t>
            </w:r>
          </w:p>
        </w:tc>
        <w:tc>
          <w:tcPr>
            <w:tcW w:type="dxa" w:w="2851"/>
            <w:tcMar>
              <w:top w:w="70" w:type="dxa"/>
              <w:start w:w="100" w:type="dxa"/>
              <w:bottom w:w="70" w:type="dxa"/>
              <w:end w:w="100" w:type="dxa"/>
            </w:tcMar>
            <w:vAlign w:val="center"/>
          </w:tcPr>
          <w:p>
            <w:r>
              <w:rPr>
                <w:rFonts w:ascii="Aptos" w:hAnsi="Aptos"/>
                <w:sz w:val="17"/>
              </w:rPr>
              <w:t>milestone_reminder</w:t>
            </w:r>
          </w:p>
        </w:tc>
        <w:tc>
          <w:tcPr>
            <w:tcW w:type="dxa" w:w="2851"/>
            <w:tcMar>
              <w:top w:w="70" w:type="dxa"/>
              <w:start w:w="100" w:type="dxa"/>
              <w:bottom w:w="70" w:type="dxa"/>
              <w:end w:w="100" w:type="dxa"/>
            </w:tcMar>
            <w:vAlign w:val="center"/>
          </w:tcPr>
          <w:p>
            <w:r>
              <w:rPr>
                <w:rFonts w:ascii="Aptos" w:hAnsi="Aptos"/>
                <w:sz w:val="17"/>
              </w:rPr>
              <w:t>Yes when recurring milestone exists</w:t>
            </w:r>
          </w:p>
        </w:tc>
        <w:tc>
          <w:tcPr>
            <w:tcW w:type="dxa" w:w="2851"/>
            <w:tcMar>
              <w:top w:w="70" w:type="dxa"/>
              <w:start w:w="100" w:type="dxa"/>
              <w:bottom w:w="70" w:type="dxa"/>
              <w:end w:w="100" w:type="dxa"/>
            </w:tcMar>
            <w:vAlign w:val="center"/>
          </w:tcPr>
          <w:p>
            <w:r>
              <w:rPr>
                <w:rFonts w:ascii="Aptos" w:hAnsi="Aptos"/>
                <w:sz w:val="17"/>
              </w:rPr>
              <w:t>Used with recurring flag to compute next reminder date.</w:t>
            </w:r>
          </w:p>
        </w:tc>
      </w:tr>
      <w:tr>
        <w:tc>
          <w:tcPr>
            <w:tcW w:type="dxa" w:w="2851"/>
            <w:tcMar>
              <w:top w:w="70" w:type="dxa"/>
              <w:start w:w="100" w:type="dxa"/>
              <w:bottom w:w="70" w:type="dxa"/>
              <w:end w:w="100" w:type="dxa"/>
            </w:tcMar>
            <w:vAlign w:val="center"/>
          </w:tcPr>
          <w:p>
            <w:r>
              <w:rPr>
                <w:rFonts w:ascii="Aptos" w:hAnsi="Aptos"/>
                <w:sz w:val="17"/>
              </w:rPr>
              <w:t>notice_period_start_date</w:t>
            </w:r>
          </w:p>
        </w:tc>
        <w:tc>
          <w:tcPr>
            <w:tcW w:type="dxa" w:w="2851"/>
            <w:tcMar>
              <w:top w:w="70" w:type="dxa"/>
              <w:start w:w="100" w:type="dxa"/>
              <w:bottom w:w="70" w:type="dxa"/>
              <w:end w:w="100" w:type="dxa"/>
            </w:tcMar>
            <w:vAlign w:val="center"/>
          </w:tcPr>
          <w:p>
            <w:r>
              <w:rPr>
                <w:rFonts w:ascii="Aptos" w:hAnsi="Aptos"/>
                <w:sz w:val="17"/>
              </w:rPr>
              <w:t>Derived</w:t>
            </w:r>
          </w:p>
        </w:tc>
        <w:tc>
          <w:tcPr>
            <w:tcW w:type="dxa" w:w="2851"/>
            <w:tcMar>
              <w:top w:w="70" w:type="dxa"/>
              <w:start w:w="100" w:type="dxa"/>
              <w:bottom w:w="70" w:type="dxa"/>
              <w:end w:w="100" w:type="dxa"/>
            </w:tcMar>
            <w:vAlign w:val="center"/>
          </w:tcPr>
          <w:p>
            <w:r>
              <w:rPr>
                <w:rFonts w:ascii="Aptos" w:hAnsi="Aptos"/>
                <w:sz w:val="17"/>
              </w:rPr>
              <w:t>notice_period_start</w:t>
            </w:r>
          </w:p>
        </w:tc>
        <w:tc>
          <w:tcPr>
            <w:tcW w:type="dxa" w:w="2851"/>
            <w:tcMar>
              <w:top w:w="70" w:type="dxa"/>
              <w:start w:w="100" w:type="dxa"/>
              <w:bottom w:w="70" w:type="dxa"/>
              <w:end w:w="100" w:type="dxa"/>
            </w:tcMar>
            <w:vAlign w:val="center"/>
          </w:tcPr>
          <w:p>
            <w:r>
              <w:rPr>
                <w:rFonts w:ascii="Aptos" w:hAnsi="Aptos"/>
                <w:sz w:val="17"/>
              </w:rPr>
              <w:t>Derived dependency gate</w:t>
            </w:r>
          </w:p>
        </w:tc>
        <w:tc>
          <w:tcPr>
            <w:tcW w:type="dxa" w:w="2851"/>
            <w:tcMar>
              <w:top w:w="70" w:type="dxa"/>
              <w:start w:w="100" w:type="dxa"/>
              <w:bottom w:w="70" w:type="dxa"/>
              <w:end w:w="100" w:type="dxa"/>
            </w:tcMar>
            <w:vAlign w:val="center"/>
          </w:tcPr>
          <w:p>
            <w:r>
              <w:rPr>
                <w:rFonts w:ascii="Aptos" w:hAnsi="Aptos"/>
                <w:sz w:val="17"/>
              </w:rPr>
              <w:t>Computed from notice_period_days and next_renewal_date or end_date.</w:t>
            </w:r>
          </w:p>
        </w:tc>
      </w:tr>
      <w:tr>
        <w:tc>
          <w:tcPr>
            <w:tcW w:type="dxa" w:w="2851"/>
            <w:tcMar>
              <w:top w:w="70" w:type="dxa"/>
              <w:start w:w="100" w:type="dxa"/>
              <w:bottom w:w="70" w:type="dxa"/>
              <w:end w:w="100" w:type="dxa"/>
            </w:tcMar>
            <w:vAlign w:val="center"/>
          </w:tcPr>
          <w:p>
            <w:r>
              <w:rPr>
                <w:rFonts w:ascii="Aptos" w:hAnsi="Aptos"/>
                <w:sz w:val="17"/>
              </w:rPr>
              <w:t>cam_reconciliation_alert_date</w:t>
            </w:r>
          </w:p>
        </w:tc>
        <w:tc>
          <w:tcPr>
            <w:tcW w:type="dxa" w:w="2851"/>
            <w:tcMar>
              <w:top w:w="70" w:type="dxa"/>
              <w:start w:w="100" w:type="dxa"/>
              <w:bottom w:w="70" w:type="dxa"/>
              <w:end w:w="100" w:type="dxa"/>
            </w:tcMar>
            <w:vAlign w:val="center"/>
          </w:tcPr>
          <w:p>
            <w:r>
              <w:rPr>
                <w:rFonts w:ascii="Aptos" w:hAnsi="Aptos"/>
                <w:sz w:val="17"/>
              </w:rPr>
              <w:t>Derived</w:t>
            </w:r>
          </w:p>
        </w:tc>
        <w:tc>
          <w:tcPr>
            <w:tcW w:type="dxa" w:w="2851"/>
            <w:tcMar>
              <w:top w:w="70" w:type="dxa"/>
              <w:start w:w="100" w:type="dxa"/>
              <w:bottom w:w="70" w:type="dxa"/>
              <w:end w:w="100" w:type="dxa"/>
            </w:tcMar>
            <w:vAlign w:val="center"/>
          </w:tcPr>
          <w:p>
            <w:r>
              <w:rPr>
                <w:rFonts w:ascii="Aptos" w:hAnsi="Aptos"/>
                <w:sz w:val="17"/>
              </w:rPr>
              <w:t>cam_reconciliation</w:t>
            </w:r>
          </w:p>
        </w:tc>
        <w:tc>
          <w:tcPr>
            <w:tcW w:type="dxa" w:w="2851"/>
            <w:tcMar>
              <w:top w:w="70" w:type="dxa"/>
              <w:start w:w="100" w:type="dxa"/>
              <w:bottom w:w="70" w:type="dxa"/>
              <w:end w:w="100" w:type="dxa"/>
            </w:tcMar>
            <w:vAlign w:val="center"/>
          </w:tcPr>
          <w:p>
            <w:r>
              <w:rPr>
                <w:rFonts w:ascii="Aptos" w:hAnsi="Aptos"/>
                <w:sz w:val="17"/>
              </w:rPr>
              <w:t>Derived dependency gate</w:t>
            </w:r>
          </w:p>
        </w:tc>
        <w:tc>
          <w:tcPr>
            <w:tcW w:type="dxa" w:w="2851"/>
            <w:tcMar>
              <w:top w:w="70" w:type="dxa"/>
              <w:start w:w="100" w:type="dxa"/>
              <w:bottom w:w="70" w:type="dxa"/>
              <w:end w:w="100" w:type="dxa"/>
            </w:tcMar>
            <w:vAlign w:val="center"/>
          </w:tcPr>
          <w:p>
            <w:r>
              <w:rPr>
                <w:rFonts w:ascii="Aptos" w:hAnsi="Aptos"/>
                <w:sz w:val="17"/>
              </w:rPr>
              <w:t>Next calendar occurrence of CAM reconciliation month.</w:t>
            </w:r>
          </w:p>
        </w:tc>
      </w:tr>
      <w:tr>
        <w:tc>
          <w:tcPr>
            <w:tcW w:type="dxa" w:w="2851"/>
            <w:tcMar>
              <w:top w:w="70" w:type="dxa"/>
              <w:start w:w="100" w:type="dxa"/>
              <w:bottom w:w="70" w:type="dxa"/>
              <w:end w:w="100" w:type="dxa"/>
            </w:tcMar>
            <w:vAlign w:val="center"/>
          </w:tcPr>
          <w:p>
            <w:r>
              <w:rPr>
                <w:rFonts w:ascii="Aptos" w:hAnsi="Aptos"/>
                <w:sz w:val="17"/>
              </w:rPr>
              <w:t>recurring_milestone_next_occurrence_date</w:t>
            </w:r>
          </w:p>
        </w:tc>
        <w:tc>
          <w:tcPr>
            <w:tcW w:type="dxa" w:w="2851"/>
            <w:tcMar>
              <w:top w:w="70" w:type="dxa"/>
              <w:start w:w="100" w:type="dxa"/>
              <w:bottom w:w="70" w:type="dxa"/>
              <w:end w:w="100" w:type="dxa"/>
            </w:tcMar>
            <w:vAlign w:val="center"/>
          </w:tcPr>
          <w:p>
            <w:r>
              <w:rPr>
                <w:rFonts w:ascii="Aptos" w:hAnsi="Aptos"/>
                <w:sz w:val="17"/>
              </w:rPr>
              <w:t>Derived</w:t>
            </w:r>
          </w:p>
        </w:tc>
        <w:tc>
          <w:tcPr>
            <w:tcW w:type="dxa" w:w="2851"/>
            <w:tcMar>
              <w:top w:w="70" w:type="dxa"/>
              <w:start w:w="100" w:type="dxa"/>
              <w:bottom w:w="70" w:type="dxa"/>
              <w:end w:w="100" w:type="dxa"/>
            </w:tcMar>
            <w:vAlign w:val="center"/>
          </w:tcPr>
          <w:p>
            <w:r>
              <w:rPr>
                <w:rFonts w:ascii="Aptos" w:hAnsi="Aptos"/>
                <w:sz w:val="17"/>
              </w:rPr>
              <w:t>milestone_reminder</w:t>
            </w:r>
          </w:p>
        </w:tc>
        <w:tc>
          <w:tcPr>
            <w:tcW w:type="dxa" w:w="2851"/>
            <w:tcMar>
              <w:top w:w="70" w:type="dxa"/>
              <w:start w:w="100" w:type="dxa"/>
              <w:bottom w:w="70" w:type="dxa"/>
              <w:end w:w="100" w:type="dxa"/>
            </w:tcMar>
            <w:vAlign w:val="center"/>
          </w:tcPr>
          <w:p>
            <w:r>
              <w:rPr>
                <w:rFonts w:ascii="Aptos" w:hAnsi="Aptos"/>
                <w:sz w:val="17"/>
              </w:rPr>
              <w:t>Derived dependency gate</w:t>
            </w:r>
          </w:p>
        </w:tc>
        <w:tc>
          <w:tcPr>
            <w:tcW w:type="dxa" w:w="2851"/>
            <w:tcMar>
              <w:top w:w="70" w:type="dxa"/>
              <w:start w:w="100" w:type="dxa"/>
              <w:bottom w:w="70" w:type="dxa"/>
              <w:end w:w="100" w:type="dxa"/>
            </w:tcMar>
            <w:vAlign w:val="center"/>
          </w:tcPr>
          <w:p>
            <w:r>
              <w:rPr>
                <w:rFonts w:ascii="Aptos" w:hAnsi="Aptos"/>
                <w:sz w:val="17"/>
              </w:rPr>
              <w:t>Used when a recurring milestone’s original due date is in the past.</w:t>
            </w:r>
          </w:p>
        </w:tc>
      </w:tr>
      <w:tr>
        <w:tc>
          <w:tcPr>
            <w:tcW w:type="dxa" w:w="2851"/>
            <w:tcMar>
              <w:top w:w="70" w:type="dxa"/>
              <w:start w:w="100" w:type="dxa"/>
              <w:bottom w:w="70" w:type="dxa"/>
              <w:end w:w="100" w:type="dxa"/>
            </w:tcMar>
            <w:vAlign w:val="center"/>
          </w:tcPr>
          <w:p>
            <w:r>
              <w:rPr>
                <w:rFonts w:ascii="Aptos" w:hAnsi="Aptos"/>
                <w:sz w:val="17"/>
              </w:rPr>
              <w:t>Contract.next_renewal_date_fallback</w:t>
            </w:r>
          </w:p>
        </w:tc>
        <w:tc>
          <w:tcPr>
            <w:tcW w:type="dxa" w:w="2851"/>
            <w:tcMar>
              <w:top w:w="70" w:type="dxa"/>
              <w:start w:w="100" w:type="dxa"/>
              <w:bottom w:w="70" w:type="dxa"/>
              <w:end w:w="100" w:type="dxa"/>
            </w:tcMar>
            <w:vAlign w:val="center"/>
          </w:tcPr>
          <w:p>
            <w:r>
              <w:rPr>
                <w:rFonts w:ascii="Aptos" w:hAnsi="Aptos"/>
                <w:sz w:val="17"/>
              </w:rPr>
              <w:t>Derived</w:t>
            </w:r>
          </w:p>
        </w:tc>
        <w:tc>
          <w:tcPr>
            <w:tcW w:type="dxa" w:w="2851"/>
            <w:tcMar>
              <w:top w:w="70" w:type="dxa"/>
              <w:start w:w="100" w:type="dxa"/>
              <w:bottom w:w="70" w:type="dxa"/>
              <w:end w:w="100" w:type="dxa"/>
            </w:tcMar>
            <w:vAlign w:val="center"/>
          </w:tcPr>
          <w:p>
            <w:r>
              <w:rPr>
                <w:rFonts w:ascii="Aptos" w:hAnsi="Aptos"/>
                <w:sz w:val="17"/>
              </w:rPr>
              <w:t>renewal_upcoming; notice_period_start</w:t>
            </w:r>
          </w:p>
        </w:tc>
        <w:tc>
          <w:tcPr>
            <w:tcW w:type="dxa" w:w="2851"/>
            <w:tcMar>
              <w:top w:w="70" w:type="dxa"/>
              <w:start w:w="100" w:type="dxa"/>
              <w:bottom w:w="70" w:type="dxa"/>
              <w:end w:w="100" w:type="dxa"/>
            </w:tcMar>
            <w:vAlign w:val="center"/>
          </w:tcPr>
          <w:p>
            <w:r>
              <w:rPr>
                <w:rFonts w:ascii="Aptos" w:hAnsi="Aptos"/>
                <w:sz w:val="17"/>
              </w:rPr>
              <w:t>Derived dependency gate</w:t>
            </w:r>
          </w:p>
        </w:tc>
        <w:tc>
          <w:tcPr>
            <w:tcW w:type="dxa" w:w="2851"/>
            <w:tcMar>
              <w:top w:w="70" w:type="dxa"/>
              <w:start w:w="100" w:type="dxa"/>
              <w:bottom w:w="70" w:type="dxa"/>
              <w:end w:w="100" w:type="dxa"/>
            </w:tcMar>
            <w:vAlign w:val="center"/>
          </w:tcPr>
          <w:p>
            <w:r>
              <w:rPr>
                <w:rFonts w:ascii="Aptos" w:hAnsi="Aptos"/>
                <w:sz w:val="17"/>
              </w:rPr>
              <w:t>Only allowed when next_renewal_date is blank and auto_renews is true.</w:t>
            </w:r>
          </w:p>
        </w:tc>
      </w:tr>
      <w:tr>
        <w:tc>
          <w:tcPr>
            <w:tcW w:type="dxa" w:w="2851"/>
            <w:tcMar>
              <w:top w:w="70" w:type="dxa"/>
              <w:start w:w="100" w:type="dxa"/>
              <w:bottom w:w="70" w:type="dxa"/>
              <w:end w:w="100" w:type="dxa"/>
            </w:tcMar>
            <w:vAlign w:val="center"/>
          </w:tcPr>
          <w:p>
            <w:r>
              <w:rPr>
                <w:rFonts w:ascii="Aptos" w:hAnsi="Aptos"/>
                <w:sz w:val="17"/>
              </w:rPr>
              <w:t>Contract.status</w:t>
            </w:r>
          </w:p>
        </w:tc>
        <w:tc>
          <w:tcPr>
            <w:tcW w:type="dxa" w:w="2851"/>
            <w:tcMar>
              <w:top w:w="70" w:type="dxa"/>
              <w:start w:w="100" w:type="dxa"/>
              <w:bottom w:w="70" w:type="dxa"/>
              <w:end w:w="100" w:type="dxa"/>
            </w:tcMar>
            <w:vAlign w:val="center"/>
          </w:tcPr>
          <w:p>
            <w:r>
              <w:rPr>
                <w:rFonts w:ascii="Aptos" w:hAnsi="Aptos"/>
                <w:sz w:val="17"/>
              </w:rPr>
              <w:t>App-managed</w:t>
            </w:r>
          </w:p>
        </w:tc>
        <w:tc>
          <w:tcPr>
            <w:tcW w:type="dxa" w:w="2851"/>
            <w:tcMar>
              <w:top w:w="70" w:type="dxa"/>
              <w:start w:w="100" w:type="dxa"/>
              <w:bottom w:w="70" w:type="dxa"/>
              <w:end w:w="100" w:type="dxa"/>
            </w:tcMar>
            <w:vAlign w:val="center"/>
          </w:tcPr>
          <w:p>
            <w:r>
              <w:rPr>
                <w:rFonts w:ascii="Aptos" w:hAnsi="Aptos"/>
                <w:sz w:val="17"/>
              </w:rPr>
              <w:t>operational suppression only</w:t>
            </w:r>
          </w:p>
        </w:tc>
        <w:tc>
          <w:tcPr>
            <w:tcW w:type="dxa" w:w="2851"/>
            <w:tcMar>
              <w:top w:w="70" w:type="dxa"/>
              <w:start w:w="100" w:type="dxa"/>
              <w:bottom w:w="70" w:type="dxa"/>
              <w:end w:w="100" w:type="dxa"/>
            </w:tcMar>
            <w:vAlign w:val="center"/>
          </w:tcPr>
          <w:p>
            <w:r>
              <w:rPr>
                <w:rFonts w:ascii="Aptos" w:hAnsi="Aptos"/>
                <w:sz w:val="17"/>
              </w:rPr>
              <w:t>No</w:t>
            </w:r>
          </w:p>
        </w:tc>
        <w:tc>
          <w:tcPr>
            <w:tcW w:type="dxa" w:w="2851"/>
            <w:tcMar>
              <w:top w:w="70" w:type="dxa"/>
              <w:start w:w="100" w:type="dxa"/>
              <w:bottom w:w="70" w:type="dxa"/>
              <w:end w:w="100" w:type="dxa"/>
            </w:tcMar>
            <w:vAlign w:val="center"/>
          </w:tcPr>
          <w:p>
            <w:r>
              <w:rPr>
                <w:rFonts w:ascii="Aptos" w:hAnsi="Aptos"/>
                <w:sz w:val="17"/>
              </w:rPr>
              <w:t>Alerts are skipped when status is expired or cancelled.</w:t>
            </w:r>
          </w:p>
        </w:tc>
      </w:tr>
    </w:tbl>
    <w:p>
      <w:pPr>
        <w:sectPr>
          <w:pgSz w:w="15840" w:h="12240" w:orient="landscape"/>
          <w:pgMar w:top="864" w:right="792" w:bottom="864" w:left="792" w:header="720" w:footer="720" w:gutter="0"/>
          <w:cols w:space="720"/>
          <w:docGrid w:linePitch="360"/>
        </w:sectPr>
      </w:pPr>
    </w:p>
    <w:p>
      <w:pPr>
        <w:pStyle w:val="Heading1"/>
      </w:pPr>
      <w:r>
        <w:t>6. Review and Activation Requirements</w:t>
      </w:r>
    </w:p>
    <w:p>
      <w:pPr>
        <w:pStyle w:val="Heading2"/>
      </w:pPr>
      <w:r>
        <w:t>6.1 UX Principle</w:t>
      </w:r>
    </w:p>
    <w:p>
      <w:r>
        <w:t>The review screen must behave like approval of an AI-created contract record, not completion of a blank form. PactBadger should ask the user to verify what is necessary to safely trust the active alert model, not to inspect every field equally.</w:t>
      </w:r>
    </w:p>
    <w:p>
      <w:pPr>
        <w:pStyle w:val="Heading2"/>
      </w:pPr>
      <w:r>
        <w:t>6.2 Review Zones</w:t>
      </w:r>
    </w:p>
    <w:p>
      <w:pPr>
        <w:ind w:left="360" w:hanging="216"/>
      </w:pPr>
      <w:r>
        <w:rPr>
          <w:b/>
        </w:rPr>
        <w:t xml:space="preserve">• </w:t>
      </w:r>
      <w:r>
        <w:t>Looks Good: high-readiness items appear in a compact summary or collapsed section. Users can expand and override them, but they are not the primary focus.</w:t>
      </w:r>
    </w:p>
    <w:p>
      <w:pPr>
        <w:ind w:left="360" w:hanging="216"/>
      </w:pPr>
      <w:r>
        <w:rPr>
          <w:b/>
        </w:rPr>
        <w:t xml:space="preserve">• </w:t>
      </w:r>
      <w:r>
        <w:t>Needs Review: unresolved, conflicting, missing, or structurally risky items appear as expanded cards.</w:t>
      </w:r>
    </w:p>
    <w:p>
      <w:pPr>
        <w:ind w:left="360" w:hanging="216"/>
      </w:pPr>
      <w:r>
        <w:rPr>
          <w:b/>
        </w:rPr>
        <w:t xml:space="preserve">• </w:t>
      </w:r>
      <w:r>
        <w:t>Secondary Details: editable but non-gating data remains available without stealing attention from activation-critical work.</w:t>
      </w:r>
    </w:p>
    <w:p>
      <w:pPr>
        <w:pStyle w:val="Heading2"/>
      </w:pPr>
      <w:r>
        <w:t>6.3 Required Review Behavior</w:t>
      </w:r>
    </w:p>
    <w:p>
      <w:pPr>
        <w:ind w:left="360" w:hanging="216"/>
      </w:pPr>
      <w:r>
        <w:rPr>
          <w:b/>
        </w:rPr>
        <w:t xml:space="preserve">• </w:t>
      </w:r>
      <w:r>
        <w:t>The page header must state how many items block activation and how many standard-priority items remain open.</w:t>
      </w:r>
    </w:p>
    <w:p>
      <w:pPr>
        <w:ind w:left="360" w:hanging="216"/>
      </w:pPr>
      <w:r>
        <w:rPr>
          <w:b/>
        </w:rPr>
        <w:t xml:space="preserve">• </w:t>
      </w:r>
      <w:r>
        <w:t>Source evidence is available on demand for any direct or derived field; it should not be fully expanded everywhere by default.</w:t>
      </w:r>
    </w:p>
    <w:p>
      <w:pPr>
        <w:ind w:left="360" w:hanging="216"/>
      </w:pPr>
      <w:r>
        <w:rPr>
          <w:b/>
        </w:rPr>
        <w:t xml:space="preserve">• </w:t>
      </w:r>
      <w:r>
        <w:t>Users may confirm, edit, mark not found, mark not applicable, or save as draft.</w:t>
      </w:r>
    </w:p>
    <w:p>
      <w:pPr>
        <w:ind w:left="360" w:hanging="216"/>
      </w:pPr>
      <w:r>
        <w:rPr>
          <w:b/>
        </w:rPr>
        <w:t xml:space="preserve">• </w:t>
      </w:r>
      <w:r>
        <w:t>Bulk confirm is allowed only for non-conflicting, non-blocking items.</w:t>
      </w:r>
    </w:p>
    <w:p>
      <w:pPr>
        <w:ind w:left="360" w:hanging="216"/>
      </w:pPr>
      <w:r>
        <w:rPr>
          <w:b/>
        </w:rPr>
        <w:t xml:space="preserve">• </w:t>
      </w:r>
      <w:r>
        <w:t>Primary actions must clearly distinguish Save Draft from Activate Tracking.</w:t>
      </w:r>
    </w:p>
    <w:p>
      <w:pPr>
        <w:pStyle w:val="Heading2"/>
      </w:pPr>
      <w:r>
        <w:t>6.4 Activation Rule</w:t>
      </w:r>
    </w:p>
    <w:p>
      <w:r>
        <w:t>Activation is alert-family aware. PactBadger should activate only the alert families whose required inputs are resolved. If some alert families are blocked and others are safe, the product may either activate the safe families and clearly label the blocked ones, or keep full activation locked until all applicable family requirements are met. MVP should default to conservative full gating unless business rules explicitly permit partial activation.</w:t>
      </w:r>
    </w:p>
    <w:p>
      <w:pPr>
        <w:pStyle w:val="Heading1"/>
      </w:pPr>
      <w:r>
        <w:t>7. Readiness Model (Replaces Raw Confidence-Only Logic)</w:t>
      </w:r>
    </w:p>
    <w:p>
      <w:pPr>
        <w:pStyle w:val="Heading2"/>
      </w:pPr>
      <w:r>
        <w:t>7.1 Product Rule</w:t>
      </w:r>
    </w:p>
    <w:p>
      <w:r>
        <w:t>PactBadger must not use a raw confidence number by itself to auto-confirm a field or unlock activation. Readiness is a composite decision.</w:t>
      </w:r>
    </w:p>
    <w:p>
      <w:pPr>
        <w:pStyle w:val="Heading2"/>
      </w:pPr>
      <w:r>
        <w:t>7.2 Readiness Inputs</w:t>
      </w:r>
    </w:p>
    <w:p>
      <w:pPr>
        <w:ind w:left="360" w:hanging="216"/>
      </w:pPr>
      <w:r>
        <w:rPr>
          <w:b/>
        </w:rPr>
        <w:t xml:space="preserve">• </w:t>
      </w:r>
      <w:r>
        <w:t>Field-family confidence score rather than one universal scalar shared across all field types.</w:t>
      </w:r>
    </w:p>
    <w:p>
      <w:pPr>
        <w:ind w:left="360" w:hanging="216"/>
      </w:pPr>
      <w:r>
        <w:rPr>
          <w:b/>
        </w:rPr>
        <w:t xml:space="preserve">• </w:t>
      </w:r>
      <w:r>
        <w:t>Conflict detection: whether multiple plausible values were found.</w:t>
      </w:r>
    </w:p>
    <w:p>
      <w:pPr>
        <w:ind w:left="360" w:hanging="216"/>
      </w:pPr>
      <w:r>
        <w:rPr>
          <w:b/>
        </w:rPr>
        <w:t xml:space="preserve">• </w:t>
      </w:r>
      <w:r>
        <w:t>Document precedence: whether later amendments supersede earlier clauses.</w:t>
      </w:r>
    </w:p>
    <w:p>
      <w:pPr>
        <w:ind w:left="360" w:hanging="216"/>
      </w:pPr>
      <w:r>
        <w:rPr>
          <w:b/>
        </w:rPr>
        <w:t xml:space="preserve">• </w:t>
      </w:r>
      <w:r>
        <w:t>Source quality: OCR clarity and parsing quality of the relevant span.</w:t>
      </w:r>
    </w:p>
    <w:p>
      <w:pPr>
        <w:ind w:left="360" w:hanging="216"/>
      </w:pPr>
      <w:r>
        <w:rPr>
          <w:b/>
        </w:rPr>
        <w:t xml:space="preserve">• </w:t>
      </w:r>
      <w:r>
        <w:t>Dependency readiness for any derived value.</w:t>
      </w:r>
    </w:p>
    <w:p>
      <w:pPr>
        <w:ind w:left="360" w:hanging="216"/>
      </w:pPr>
      <w:r>
        <w:rPr>
          <w:b/>
        </w:rPr>
        <w:t xml:space="preserve">• </w:t>
      </w:r>
      <w:r>
        <w:t>Extraction type: direct extraction versus computed value.</w:t>
      </w:r>
    </w:p>
    <w:p>
      <w:pPr>
        <w:pStyle w:val="Heading2"/>
      </w:pPr>
      <w:r>
        <w:t>7.3 Readiness Buckets</w:t>
      </w:r>
    </w:p>
    <w:p>
      <w:pPr>
        <w:ind w:left="360" w:hanging="216"/>
      </w:pPr>
      <w:r>
        <w:rPr>
          <w:b/>
        </w:rPr>
        <w:t xml:space="preserve">• </w:t>
      </w:r>
      <w:r>
        <w:t>High: eligible for compact display and possible auto-confirm when structural checks also pass.</w:t>
      </w:r>
    </w:p>
    <w:p>
      <w:pPr>
        <w:ind w:left="360" w:hanging="216"/>
      </w:pPr>
      <w:r>
        <w:rPr>
          <w:b/>
        </w:rPr>
        <w:t xml:space="preserve">• </w:t>
      </w:r>
      <w:r>
        <w:t>Review: user should inspect before the system relies on the value.</w:t>
      </w:r>
    </w:p>
    <w:p>
      <w:pPr>
        <w:ind w:left="360" w:hanging="216"/>
      </w:pPr>
      <w:r>
        <w:rPr>
          <w:b/>
        </w:rPr>
        <w:t xml:space="preserve">• </w:t>
      </w:r>
      <w:r>
        <w:t>Blocked: activation cannot safely rely on the value yet.</w:t>
      </w:r>
    </w:p>
    <w:p>
      <w:pPr>
        <w:pStyle w:val="Heading2"/>
      </w:pPr>
      <w:r>
        <w:t>7.4 Field-Family Threshold Policy</w:t>
      </w:r>
    </w:p>
    <w:p>
      <w:r>
        <w:t>Thresholds must be maintained by field family, not globally. For example, end-date extraction, auto-renew detection, milestone recurrence settings, and escalation dates may each require different calibration. A field may be auto-confirmed only when its family threshold is met and no conflict, precedence, or dependency issue remains.</w:t>
      </w:r>
    </w:p>
    <w:p>
      <w:pPr>
        <w:pStyle w:val="Heading2"/>
      </w:pPr>
      <w:r>
        <w:t>7.5 Initial Operational Thresholds (Provisional)</w:t>
      </w:r>
    </w:p>
    <w:p>
      <w:pPr/>
      <w:r>
        <w:t>These thresholds are implementation starting points only. They are not final product guarantees and must be recalibrated using reviewed production data by field family. Numeric thresholds are necessary but not sufficient: a field reaches a readiness bucket only when its score threshold and its structural checks both pass.</w:t>
      </w:r>
    </w:p>
    <w:p>
      <w:pPr>
        <w:pStyle w:val="Heading2"/>
      </w:pPr>
      <w:r>
        <w:t>Alert-driving fields (initial policy)</w:t>
      </w:r>
    </w:p>
    <w:p>
      <w:pPr/>
      <w:r>
        <w:t>Examples: Contract.end_date, Contract.next_renewal_date, Contract.notice_period_days, LeaseOption.notice_deadline, LeaseDetail.ti_deadline, RentEscalation.effective_date, LeaseMilestone.due_date.</w:t>
      </w:r>
    </w:p>
    <w:p>
      <w:pPr/>
      <w:r>
        <w:t>• High: score &gt;= 0.95, no conflicts, source-quality checks pass, and dependency / precedence checks pass.</w:t>
      </w:r>
    </w:p>
    <w:p>
      <w:pPr/>
      <w:r>
        <w:t>• Review: score 0.80–0.949, or any non-blocking validation warning is present.</w:t>
      </w:r>
    </w:p>
    <w:p>
      <w:pPr/>
      <w:r>
        <w:t>• Blocked: score &lt; 0.80, missing, conflicting, dependency unresolved, precedence unresolved, or source quality fails.</w:t>
      </w:r>
    </w:p>
    <w:p>
      <w:pPr>
        <w:pStyle w:val="Heading2"/>
      </w:pPr>
      <w:r>
        <w:t>Alert-governing fields (initial policy)</w:t>
      </w:r>
    </w:p>
    <w:p>
      <w:pPr/>
      <w:r>
        <w:t>Examples: Contract.auto_renews, Contract.contract_type, LeaseMilestone.recurring, LeaseMilestone.recurrence_interval.</w:t>
      </w:r>
    </w:p>
    <w:p>
      <w:pPr/>
      <w:r>
        <w:t>• High: score &gt;= 0.90, no conflicts, and structural validation checks pass.</w:t>
      </w:r>
    </w:p>
    <w:p>
      <w:pPr/>
      <w:r>
        <w:t>• Review: score 0.75–0.899, or any non-blocking validation warning is present.</w:t>
      </w:r>
    </w:p>
    <w:p>
      <w:pPr/>
      <w:r>
        <w:t>• Blocked: score &lt; 0.75, missing when required, conflicting, or dependency / precedence checks fail.</w:t>
      </w:r>
    </w:p>
    <w:p>
      <w:pPr>
        <w:pStyle w:val="Heading2"/>
      </w:pPr>
      <w:r>
        <w:t>Contextual extracted fields (initial policy)</w:t>
      </w:r>
    </w:p>
    <w:p>
      <w:pPr/>
      <w:r>
        <w:t>Examples: LeaseDetail.percentage_rent_report_date and other extracted metadata not currently used to generate alerts.</w:t>
      </w:r>
    </w:p>
    <w:p>
      <w:pPr/>
      <w:r>
        <w:t>• High: score &gt;= 0.85 and no conflicts.</w:t>
      </w:r>
    </w:p>
    <w:p>
      <w:pPr/>
      <w:r>
        <w:t>• Review: score 0.70–0.849, or source-quality warnings exist.</w:t>
      </w:r>
    </w:p>
    <w:p>
      <w:pPr/>
      <w:r>
        <w:t>• Blocked: never blocks contract activation by itself; unresolved values remain editable and measurable post-activation.</w:t>
      </w:r>
    </w:p>
    <w:p>
      <w:pPr>
        <w:pStyle w:val="Heading2"/>
      </w:pPr>
      <w:r>
        <w:t>7.5.1 Initial Readiness Bucket to UX Mapping</w:t>
      </w:r>
    </w:p>
    <w:p>
      <w:pPr/>
      <w:r>
        <w:t>• High: appears in “Looks Good,” is collapsed by default, and is eligible for auto-confirm unless a later dependency change invalidates it.</w:t>
      </w:r>
    </w:p>
    <w:p>
      <w:pPr/>
      <w:r>
        <w:t>• Review: appears in “Needs Review,” is expanded by default, and blocks activation only if the field is gating for an applicable alert family.</w:t>
      </w:r>
    </w:p>
    <w:p>
      <w:pPr/>
      <w:r>
        <w:t>• Blocked: appears in a clearly labeled blocking state, requires user action or an approved override path, and always blocks dependent alert families.</w:t>
      </w:r>
    </w:p>
    <w:p>
      <w:pPr>
        <w:pStyle w:val="Heading2"/>
      </w:pPr>
      <w:r>
        <w:t>7.5.2 Field-Specific Starting Rules</w:t>
      </w:r>
    </w:p>
    <w:p>
      <w:pPr/>
      <w:r>
        <w:t>• Contract.end_date: treat as alert-driving; High requires &gt;= 0.95 plus an explicit date in source text, acceptable OCR/source quality, and no unresolved amendment conflict. End date blocks activation when expiry or notice-related alerts depend on it.</w:t>
      </w:r>
    </w:p>
    <w:p>
      <w:pPr/>
      <w:r>
        <w:t>• Contract.auto_renews: treat as alert-governing; High requires &gt;= 0.90 plus a clearly identified renewal clause and no unresolved conflicting interpretation. It blocks activation when renewal alert logic or next_renewal_date fallback depends on it.</w:t>
      </w:r>
    </w:p>
    <w:p>
      <w:pPr/>
      <w:r>
        <w:t>• LeaseDetail.percentage_rent_report_date: treat as contextual; High requires &gt;= 0.85 and no conflicts, but it does not block activation because it does not currently drive alert generation.</w:t>
      </w:r>
    </w:p>
    <w:p>
      <w:pPr>
        <w:pStyle w:val="Heading2"/>
      </w:pPr>
      <w:r>
        <w:t>7.6 Calibration Plan</w:t>
      </w:r>
    </w:p>
    <w:p>
      <w:pPr>
        <w:ind w:left="360" w:hanging="216"/>
      </w:pPr>
      <w:r>
        <w:rPr>
          <w:b/>
        </w:rPr>
        <w:t xml:space="preserve">• </w:t>
      </w:r>
      <w:r>
        <w:t>Capture reviewed production data for each field type: extracted value, score, final human value, edit rate, and activation outcome.</w:t>
      </w:r>
    </w:p>
    <w:p>
      <w:pPr>
        <w:ind w:left="360" w:hanging="216"/>
      </w:pPr>
      <w:r>
        <w:rPr>
          <w:b/>
        </w:rPr>
        <w:t xml:space="preserve">• </w:t>
      </w:r>
      <w:r>
        <w:t>Use the first 200–500 reviewed contracts to calibrate thresholds by field family.</w:t>
      </w:r>
    </w:p>
    <w:p>
      <w:pPr>
        <w:ind w:left="360" w:hanging="216"/>
      </w:pPr>
      <w:r>
        <w:rPr>
          <w:b/>
        </w:rPr>
        <w:t xml:space="preserve">• </w:t>
      </w:r>
      <w:r>
        <w:t>Track override rate, sampled correctness, missed conflicts, and post-activation error reports.</w:t>
      </w:r>
    </w:p>
    <w:p>
      <w:pPr>
        <w:ind w:left="360" w:hanging="216"/>
      </w:pPr>
      <w:r>
        <w:rPr>
          <w:b/>
        </w:rPr>
        <w:t xml:space="preserve">• </w:t>
      </w:r>
      <w:r>
        <w:t>Until calibration stabilizes, keep alert-driving and alert-governing fields conservative and prefer Review over silent auto-confirm.</w:t>
      </w:r>
    </w:p>
    <w:p>
      <w:pPr>
        <w:pStyle w:val="Heading1"/>
      </w:pPr>
      <w:r>
        <w:t>8. Derived Values and Dependency Rules</w:t>
      </w:r>
    </w:p>
    <w:p>
      <w:r>
        <w:t>Derived values are first-class operational outputs, but they are not independently trustworthy. Their readiness inherits from their inputs and the rule used to compute them.</w:t>
      </w:r>
    </w:p>
    <w:tbl>
      <w:tblPr>
        <w:tblStyle w:val="TableGrid"/>
        <w:tblW w:type="auto" w:w="0"/>
        <w:jc w:val="left"/>
        <w:tblLook w:firstColumn="1" w:firstRow="1" w:lastColumn="0" w:lastRow="0" w:noHBand="0" w:noVBand="1" w:val="04A0"/>
      </w:tblPr>
      <w:tblGrid>
        <w:gridCol w:w="2484"/>
        <w:gridCol w:w="2484"/>
        <w:gridCol w:w="2484"/>
        <w:gridCol w:w="2484"/>
      </w:tblGrid>
      <w:tr>
        <w:trPr>
          <w:tblHeader w:val="true"/>
        </w:trPr>
        <w:tc>
          <w:tcPr>
            <w:tcW w:type="dxa" w:w="2484"/>
            <w:shd w:fill="EAF4EF"/>
            <w:tcMar>
              <w:top w:w="80" w:type="dxa"/>
              <w:start w:w="100" w:type="dxa"/>
              <w:bottom w:w="80" w:type="dxa"/>
              <w:end w:w="100" w:type="dxa"/>
            </w:tcMar>
          </w:tcPr>
          <w:p>
            <w:r>
              <w:rPr>
                <w:rFonts w:ascii="Aptos" w:hAnsi="Aptos"/>
                <w:b/>
                <w:color w:val="165740"/>
                <w:sz w:val="18"/>
              </w:rPr>
              <w:t>Derived Value</w:t>
            </w:r>
          </w:p>
        </w:tc>
        <w:tc>
          <w:tcPr>
            <w:tcW w:type="dxa" w:w="2484"/>
            <w:shd w:fill="EAF4EF"/>
            <w:tcMar>
              <w:top w:w="80" w:type="dxa"/>
              <w:start w:w="100" w:type="dxa"/>
              <w:bottom w:w="80" w:type="dxa"/>
              <w:end w:w="100" w:type="dxa"/>
            </w:tcMar>
          </w:tcPr>
          <w:p>
            <w:r>
              <w:rPr>
                <w:rFonts w:ascii="Aptos" w:hAnsi="Aptos"/>
                <w:b/>
                <w:color w:val="165740"/>
                <w:sz w:val="18"/>
              </w:rPr>
              <w:t>Derived From</w:t>
            </w:r>
          </w:p>
        </w:tc>
        <w:tc>
          <w:tcPr>
            <w:tcW w:type="dxa" w:w="2484"/>
            <w:shd w:fill="EAF4EF"/>
            <w:tcMar>
              <w:top w:w="80" w:type="dxa"/>
              <w:start w:w="100" w:type="dxa"/>
              <w:bottom w:w="80" w:type="dxa"/>
              <w:end w:w="100" w:type="dxa"/>
            </w:tcMar>
          </w:tcPr>
          <w:p>
            <w:r>
              <w:rPr>
                <w:rFonts w:ascii="Aptos" w:hAnsi="Aptos"/>
                <w:b/>
                <w:color w:val="165740"/>
                <w:sz w:val="18"/>
              </w:rPr>
              <w:t>Applicable Alert Type(s)</w:t>
            </w:r>
          </w:p>
        </w:tc>
        <w:tc>
          <w:tcPr>
            <w:tcW w:type="dxa" w:w="2484"/>
            <w:shd w:fill="EAF4EF"/>
            <w:tcMar>
              <w:top w:w="80" w:type="dxa"/>
              <w:start w:w="100" w:type="dxa"/>
              <w:bottom w:w="80" w:type="dxa"/>
              <w:end w:w="100" w:type="dxa"/>
            </w:tcMar>
          </w:tcPr>
          <w:p>
            <w:r>
              <w:rPr>
                <w:rFonts w:ascii="Aptos" w:hAnsi="Aptos"/>
                <w:b/>
                <w:color w:val="165740"/>
                <w:sz w:val="18"/>
              </w:rPr>
              <w:t>Readiness Rule</w:t>
            </w:r>
          </w:p>
        </w:tc>
      </w:tr>
      <w:tr>
        <w:tc>
          <w:tcPr>
            <w:tcW w:type="dxa" w:w="2484"/>
            <w:tcMar>
              <w:top w:w="80" w:type="dxa"/>
              <w:start w:w="100" w:type="dxa"/>
              <w:bottom w:w="80" w:type="dxa"/>
              <w:end w:w="100" w:type="dxa"/>
            </w:tcMar>
            <w:vAlign w:val="center"/>
          </w:tcPr>
          <w:p>
            <w:r>
              <w:rPr>
                <w:rFonts w:ascii="Aptos" w:hAnsi="Aptos"/>
                <w:sz w:val="18"/>
              </w:rPr>
              <w:t>notice_period_start_date</w:t>
            </w:r>
          </w:p>
        </w:tc>
        <w:tc>
          <w:tcPr>
            <w:tcW w:type="dxa" w:w="2484"/>
            <w:tcMar>
              <w:top w:w="80" w:type="dxa"/>
              <w:start w:w="100" w:type="dxa"/>
              <w:bottom w:w="80" w:type="dxa"/>
              <w:end w:w="100" w:type="dxa"/>
            </w:tcMar>
            <w:vAlign w:val="center"/>
          </w:tcPr>
          <w:p>
            <w:r>
              <w:rPr>
                <w:rFonts w:ascii="Aptos" w:hAnsi="Aptos"/>
                <w:sz w:val="18"/>
              </w:rPr>
              <w:t>Notice days + next renewal date or end date</w:t>
            </w:r>
          </w:p>
        </w:tc>
        <w:tc>
          <w:tcPr>
            <w:tcW w:type="dxa" w:w="2484"/>
            <w:tcMar>
              <w:top w:w="80" w:type="dxa"/>
              <w:start w:w="100" w:type="dxa"/>
              <w:bottom w:w="80" w:type="dxa"/>
              <w:end w:w="100" w:type="dxa"/>
            </w:tcMar>
            <w:vAlign w:val="center"/>
          </w:tcPr>
          <w:p>
            <w:r>
              <w:rPr>
                <w:rFonts w:ascii="Aptos" w:hAnsi="Aptos"/>
                <w:sz w:val="18"/>
              </w:rPr>
              <w:t>notice_period_start</w:t>
            </w:r>
          </w:p>
        </w:tc>
        <w:tc>
          <w:tcPr>
            <w:tcW w:type="dxa" w:w="2484"/>
            <w:tcMar>
              <w:top w:w="80" w:type="dxa"/>
              <w:start w:w="100" w:type="dxa"/>
              <w:bottom w:w="80" w:type="dxa"/>
              <w:end w:w="100" w:type="dxa"/>
            </w:tcMar>
            <w:vAlign w:val="center"/>
          </w:tcPr>
          <w:p>
            <w:r>
              <w:rPr>
                <w:rFonts w:ascii="Aptos" w:hAnsi="Aptos"/>
                <w:sz w:val="18"/>
              </w:rPr>
              <w:t>Ready only if source fields are resolved and non-conflicting.</w:t>
            </w:r>
          </w:p>
        </w:tc>
      </w:tr>
      <w:tr>
        <w:tc>
          <w:tcPr>
            <w:tcW w:type="dxa" w:w="2484"/>
            <w:tcMar>
              <w:top w:w="80" w:type="dxa"/>
              <w:start w:w="100" w:type="dxa"/>
              <w:bottom w:w="80" w:type="dxa"/>
              <w:end w:w="100" w:type="dxa"/>
            </w:tcMar>
            <w:vAlign w:val="center"/>
          </w:tcPr>
          <w:p>
            <w:r>
              <w:rPr>
                <w:rFonts w:ascii="Aptos" w:hAnsi="Aptos"/>
                <w:sz w:val="18"/>
              </w:rPr>
              <w:t>cam_reconciliation_alert_date</w:t>
            </w:r>
          </w:p>
        </w:tc>
        <w:tc>
          <w:tcPr>
            <w:tcW w:type="dxa" w:w="2484"/>
            <w:tcMar>
              <w:top w:w="80" w:type="dxa"/>
              <w:start w:w="100" w:type="dxa"/>
              <w:bottom w:w="80" w:type="dxa"/>
              <w:end w:w="100" w:type="dxa"/>
            </w:tcMar>
            <w:vAlign w:val="center"/>
          </w:tcPr>
          <w:p>
            <w:r>
              <w:rPr>
                <w:rFonts w:ascii="Aptos" w:hAnsi="Aptos"/>
                <w:sz w:val="18"/>
              </w:rPr>
              <w:t>CAM reconciliation month</w:t>
            </w:r>
          </w:p>
        </w:tc>
        <w:tc>
          <w:tcPr>
            <w:tcW w:type="dxa" w:w="2484"/>
            <w:tcMar>
              <w:top w:w="80" w:type="dxa"/>
              <w:start w:w="100" w:type="dxa"/>
              <w:bottom w:w="80" w:type="dxa"/>
              <w:end w:w="100" w:type="dxa"/>
            </w:tcMar>
            <w:vAlign w:val="center"/>
          </w:tcPr>
          <w:p>
            <w:r>
              <w:rPr>
                <w:rFonts w:ascii="Aptos" w:hAnsi="Aptos"/>
                <w:sz w:val="18"/>
              </w:rPr>
              <w:t>cam_reconciliation</w:t>
            </w:r>
          </w:p>
        </w:tc>
        <w:tc>
          <w:tcPr>
            <w:tcW w:type="dxa" w:w="2484"/>
            <w:tcMar>
              <w:top w:w="80" w:type="dxa"/>
              <w:start w:w="100" w:type="dxa"/>
              <w:bottom w:w="80" w:type="dxa"/>
              <w:end w:w="100" w:type="dxa"/>
            </w:tcMar>
            <w:vAlign w:val="center"/>
          </w:tcPr>
          <w:p>
            <w:r>
              <w:rPr>
                <w:rFonts w:ascii="Aptos" w:hAnsi="Aptos"/>
                <w:sz w:val="18"/>
              </w:rPr>
              <w:t>Ready only if the month is present, valid, and contract type permits lease logic.</w:t>
            </w:r>
          </w:p>
        </w:tc>
      </w:tr>
      <w:tr>
        <w:tc>
          <w:tcPr>
            <w:tcW w:type="dxa" w:w="2484"/>
            <w:tcMar>
              <w:top w:w="80" w:type="dxa"/>
              <w:start w:w="100" w:type="dxa"/>
              <w:bottom w:w="80" w:type="dxa"/>
              <w:end w:w="100" w:type="dxa"/>
            </w:tcMar>
            <w:vAlign w:val="center"/>
          </w:tcPr>
          <w:p>
            <w:r>
              <w:rPr>
                <w:rFonts w:ascii="Aptos" w:hAnsi="Aptos"/>
                <w:sz w:val="18"/>
              </w:rPr>
              <w:t>recurring_milestone_next_occurrence_date</w:t>
            </w:r>
          </w:p>
        </w:tc>
        <w:tc>
          <w:tcPr>
            <w:tcW w:type="dxa" w:w="2484"/>
            <w:tcMar>
              <w:top w:w="80" w:type="dxa"/>
              <w:start w:w="100" w:type="dxa"/>
              <w:bottom w:w="80" w:type="dxa"/>
              <w:end w:w="100" w:type="dxa"/>
            </w:tcMar>
            <w:vAlign w:val="center"/>
          </w:tcPr>
          <w:p>
            <w:r>
              <w:rPr>
                <w:rFonts w:ascii="Aptos" w:hAnsi="Aptos"/>
                <w:sz w:val="18"/>
              </w:rPr>
              <w:t>Milestone due date + recurring flag + recurrence interval</w:t>
            </w:r>
          </w:p>
        </w:tc>
        <w:tc>
          <w:tcPr>
            <w:tcW w:type="dxa" w:w="2484"/>
            <w:tcMar>
              <w:top w:w="80" w:type="dxa"/>
              <w:start w:w="100" w:type="dxa"/>
              <w:bottom w:w="80" w:type="dxa"/>
              <w:end w:w="100" w:type="dxa"/>
            </w:tcMar>
            <w:vAlign w:val="center"/>
          </w:tcPr>
          <w:p>
            <w:r>
              <w:rPr>
                <w:rFonts w:ascii="Aptos" w:hAnsi="Aptos"/>
                <w:sz w:val="18"/>
              </w:rPr>
              <w:t>milestone_reminder</w:t>
            </w:r>
          </w:p>
        </w:tc>
        <w:tc>
          <w:tcPr>
            <w:tcW w:type="dxa" w:w="2484"/>
            <w:tcMar>
              <w:top w:w="80" w:type="dxa"/>
              <w:start w:w="100" w:type="dxa"/>
              <w:bottom w:w="80" w:type="dxa"/>
              <w:end w:w="100" w:type="dxa"/>
            </w:tcMar>
            <w:vAlign w:val="center"/>
          </w:tcPr>
          <w:p>
            <w:r>
              <w:rPr>
                <w:rFonts w:ascii="Aptos" w:hAnsi="Aptos"/>
                <w:sz w:val="18"/>
              </w:rPr>
              <w:t>Ready only if the milestone exists and recurrence settings are internally consistent.</w:t>
            </w:r>
          </w:p>
        </w:tc>
      </w:tr>
      <w:tr>
        <w:tc>
          <w:tcPr>
            <w:tcW w:type="dxa" w:w="2484"/>
            <w:tcMar>
              <w:top w:w="80" w:type="dxa"/>
              <w:start w:w="100" w:type="dxa"/>
              <w:bottom w:w="80" w:type="dxa"/>
              <w:end w:w="100" w:type="dxa"/>
            </w:tcMar>
            <w:vAlign w:val="center"/>
          </w:tcPr>
          <w:p>
            <w:r>
              <w:rPr>
                <w:rFonts w:ascii="Aptos" w:hAnsi="Aptos"/>
                <w:sz w:val="18"/>
              </w:rPr>
              <w:t>Contract.next_renewal_date_fallback</w:t>
            </w:r>
          </w:p>
        </w:tc>
        <w:tc>
          <w:tcPr>
            <w:tcW w:type="dxa" w:w="2484"/>
            <w:tcMar>
              <w:top w:w="80" w:type="dxa"/>
              <w:start w:w="100" w:type="dxa"/>
              <w:bottom w:w="80" w:type="dxa"/>
              <w:end w:w="100" w:type="dxa"/>
            </w:tcMar>
            <w:vAlign w:val="center"/>
          </w:tcPr>
          <w:p>
            <w:r>
              <w:rPr>
                <w:rFonts w:ascii="Aptos" w:hAnsi="Aptos"/>
                <w:sz w:val="18"/>
              </w:rPr>
              <w:t>Auto-renews + end date</w:t>
            </w:r>
          </w:p>
        </w:tc>
        <w:tc>
          <w:tcPr>
            <w:tcW w:type="dxa" w:w="2484"/>
            <w:tcMar>
              <w:top w:w="80" w:type="dxa"/>
              <w:start w:w="100" w:type="dxa"/>
              <w:bottom w:w="80" w:type="dxa"/>
              <w:end w:w="100" w:type="dxa"/>
            </w:tcMar>
            <w:vAlign w:val="center"/>
          </w:tcPr>
          <w:p>
            <w:r>
              <w:rPr>
                <w:rFonts w:ascii="Aptos" w:hAnsi="Aptos"/>
                <w:sz w:val="18"/>
              </w:rPr>
              <w:t>renewal_upcoming; notice_period_start</w:t>
            </w:r>
          </w:p>
        </w:tc>
        <w:tc>
          <w:tcPr>
            <w:tcW w:type="dxa" w:w="2484"/>
            <w:tcMar>
              <w:top w:w="80" w:type="dxa"/>
              <w:start w:w="100" w:type="dxa"/>
              <w:bottom w:w="80" w:type="dxa"/>
              <w:end w:w="100" w:type="dxa"/>
            </w:tcMar>
            <w:vAlign w:val="center"/>
          </w:tcPr>
          <w:p>
            <w:r>
              <w:rPr>
                <w:rFonts w:ascii="Aptos" w:hAnsi="Aptos"/>
                <w:sz w:val="18"/>
              </w:rPr>
              <w:t>Ready only when next_renewal_date is blank, auto_renews is true, and fallback is allowed.</w:t>
            </w:r>
          </w:p>
        </w:tc>
      </w:tr>
    </w:tbl>
    <w:p>
      <w:pPr>
        <w:pStyle w:val="Heading1"/>
      </w:pPr>
      <w:r>
        <w:t>9. Gating and Follow-Through Policy</w:t>
      </w:r>
    </w:p>
    <w:p>
      <w:pPr>
        <w:pStyle w:val="Heading2"/>
      </w:pPr>
      <w:r>
        <w:t>9.1 Gating Principle</w:t>
      </w:r>
    </w:p>
    <w:p>
      <w:r>
        <w:t>A field blocks activation only when an applicable alert family depends on it. Contextual fields do not block activation by default. Alert-governing fields block activation when they determine whether a family should run or how its date is computed.</w:t>
      </w:r>
    </w:p>
    <w:p>
      <w:pPr>
        <w:pStyle w:val="Heading2"/>
      </w:pPr>
      <w:r>
        <w:t>9.2 Standard-Priority Follow-Through</w:t>
      </w:r>
    </w:p>
    <w:p>
      <w:r>
        <w:t>Not all useful fields should block activation. Some fields should remain actionable after activation as standard-priority open items. PactBadger should track and surface these items until they are resolved, marked not applicable, or intentionally deferred.</w:t>
      </w:r>
    </w:p>
    <w:p>
      <w:pPr>
        <w:pStyle w:val="Heading2"/>
      </w:pPr>
      <w:r>
        <w:t>9.3 Post-Activation Metric</w:t>
      </w:r>
    </w:p>
    <w:p>
      <w:r>
        <w:t>Standard-priority fields resolved within 7 days is an explicit success metric. This ensures the product does not abandon non-gating but still important data quality work after activation goes live.</w:t>
      </w:r>
    </w:p>
    <w:p>
      <w:pPr>
        <w:pStyle w:val="Heading1"/>
      </w:pPr>
      <w:r>
        <w:t>10. Audit Trail and Data Model Requirements</w:t>
      </w:r>
    </w:p>
    <w:p>
      <w:pPr>
        <w:ind w:left="360" w:hanging="216"/>
      </w:pPr>
      <w:r>
        <w:rPr>
          <w:b/>
        </w:rPr>
        <w:t xml:space="preserve">• </w:t>
      </w:r>
      <w:r>
        <w:t>Store the original AI-extracted or derived value.</w:t>
      </w:r>
    </w:p>
    <w:p>
      <w:pPr>
        <w:ind w:left="360" w:hanging="216"/>
      </w:pPr>
      <w:r>
        <w:rPr>
          <w:b/>
        </w:rPr>
        <w:t xml:space="preserve">• </w:t>
      </w:r>
      <w:r>
        <w:t>Store the final saved value.</w:t>
      </w:r>
    </w:p>
    <w:p>
      <w:pPr>
        <w:ind w:left="360" w:hanging="216"/>
      </w:pPr>
      <w:r>
        <w:rPr>
          <w:b/>
        </w:rPr>
        <w:t xml:space="preserve">• </w:t>
      </w:r>
      <w:r>
        <w:t>Store field class, field family, readiness bucket, and whether the value was direct or derived.</w:t>
      </w:r>
    </w:p>
    <w:p>
      <w:pPr>
        <w:ind w:left="360" w:hanging="216"/>
      </w:pPr>
      <w:r>
        <w:rPr>
          <w:b/>
        </w:rPr>
        <w:t xml:space="preserve">• </w:t>
      </w:r>
      <w:r>
        <w:t>Store who confirmed or edited the field and when.</w:t>
      </w:r>
    </w:p>
    <w:p>
      <w:pPr>
        <w:ind w:left="360" w:hanging="216"/>
      </w:pPr>
      <w:r>
        <w:rPr>
          <w:b/>
        </w:rPr>
        <w:t xml:space="preserve">• </w:t>
      </w:r>
      <w:r>
        <w:t>Store source clause, page reference, and underlying structural checks.</w:t>
      </w:r>
    </w:p>
    <w:p>
      <w:pPr>
        <w:ind w:left="360" w:hanging="216"/>
      </w:pPr>
      <w:r>
        <w:rPr>
          <w:b/>
        </w:rPr>
        <w:t xml:space="preserve">• </w:t>
      </w:r>
      <w:r>
        <w:t>Store whether the field currently blocks any alert family and which family that is.</w:t>
      </w:r>
    </w:p>
    <w:p>
      <w:pPr>
        <w:pStyle w:val="Heading1"/>
      </w:pPr>
      <w:r>
        <w:t>11. Success Metrics</w:t>
      </w:r>
    </w:p>
    <w:tbl>
      <w:tblPr>
        <w:tblStyle w:val="TableGrid"/>
        <w:tblW w:type="auto" w:w="0"/>
        <w:jc w:val="left"/>
        <w:tblLook w:firstColumn="1" w:firstRow="1" w:lastColumn="0" w:lastRow="0" w:noHBand="0" w:noVBand="1" w:val="04A0"/>
      </w:tblPr>
      <w:tblGrid>
        <w:gridCol w:w="4968"/>
        <w:gridCol w:w="4968"/>
      </w:tblGrid>
      <w:tr>
        <w:trPr>
          <w:tblHeader w:val="true"/>
        </w:trPr>
        <w:tc>
          <w:tcPr>
            <w:tcW w:type="dxa" w:w="4968"/>
            <w:shd w:fill="EAF4EF"/>
            <w:tcMar>
              <w:top w:w="80" w:type="dxa"/>
              <w:start w:w="100" w:type="dxa"/>
              <w:bottom w:w="80" w:type="dxa"/>
              <w:end w:w="100" w:type="dxa"/>
            </w:tcMar>
          </w:tcPr>
          <w:p>
            <w:r>
              <w:rPr>
                <w:rFonts w:ascii="Aptos" w:hAnsi="Aptos"/>
                <w:b/>
                <w:color w:val="165740"/>
                <w:sz w:val="18"/>
              </w:rPr>
              <w:t>Metric</w:t>
            </w:r>
          </w:p>
        </w:tc>
        <w:tc>
          <w:tcPr>
            <w:tcW w:type="dxa" w:w="4968"/>
            <w:shd w:fill="EAF4EF"/>
            <w:tcMar>
              <w:top w:w="80" w:type="dxa"/>
              <w:start w:w="100" w:type="dxa"/>
              <w:bottom w:w="80" w:type="dxa"/>
              <w:end w:w="100" w:type="dxa"/>
            </w:tcMar>
          </w:tcPr>
          <w:p>
            <w:r>
              <w:rPr>
                <w:rFonts w:ascii="Aptos" w:hAnsi="Aptos"/>
                <w:b/>
                <w:color w:val="165740"/>
                <w:sz w:val="18"/>
              </w:rPr>
              <w:t>Target / Intent</w:t>
            </w:r>
          </w:p>
        </w:tc>
      </w:tr>
      <w:tr>
        <w:tc>
          <w:tcPr>
            <w:tcW w:type="dxa" w:w="4968"/>
            <w:tcMar>
              <w:top w:w="80" w:type="dxa"/>
              <w:start w:w="100" w:type="dxa"/>
              <w:bottom w:w="80" w:type="dxa"/>
              <w:end w:w="100" w:type="dxa"/>
            </w:tcMar>
            <w:vAlign w:val="center"/>
          </w:tcPr>
          <w:p>
            <w:r>
              <w:rPr>
                <w:rFonts w:ascii="Aptos" w:hAnsi="Aptos"/>
                <w:sz w:val="18"/>
              </w:rPr>
              <w:t>Median time from extraction complete to activation</w:t>
            </w:r>
          </w:p>
        </w:tc>
        <w:tc>
          <w:tcPr>
            <w:tcW w:type="dxa" w:w="4968"/>
            <w:tcMar>
              <w:top w:w="80" w:type="dxa"/>
              <w:start w:w="100" w:type="dxa"/>
              <w:bottom w:w="80" w:type="dxa"/>
              <w:end w:w="100" w:type="dxa"/>
            </w:tcMar>
            <w:vAlign w:val="center"/>
          </w:tcPr>
          <w:p>
            <w:r>
              <w:rPr>
                <w:rFonts w:ascii="Aptos" w:hAnsi="Aptos"/>
                <w:sz w:val="18"/>
              </w:rPr>
              <w:t>Under 60 seconds for straightforward contracts</w:t>
            </w:r>
          </w:p>
        </w:tc>
      </w:tr>
      <w:tr>
        <w:tc>
          <w:tcPr>
            <w:tcW w:type="dxa" w:w="4968"/>
            <w:tcMar>
              <w:top w:w="80" w:type="dxa"/>
              <w:start w:w="100" w:type="dxa"/>
              <w:bottom w:w="80" w:type="dxa"/>
              <w:end w:w="100" w:type="dxa"/>
            </w:tcMar>
            <w:vAlign w:val="center"/>
          </w:tcPr>
          <w:p>
            <w:r>
              <w:rPr>
                <w:rFonts w:ascii="Aptos" w:hAnsi="Aptos"/>
                <w:sz w:val="18"/>
              </w:rPr>
              <w:t>Contracts needing active review on more than four items</w:t>
            </w:r>
          </w:p>
        </w:tc>
        <w:tc>
          <w:tcPr>
            <w:tcW w:type="dxa" w:w="4968"/>
            <w:tcMar>
              <w:top w:w="80" w:type="dxa"/>
              <w:start w:w="100" w:type="dxa"/>
              <w:bottom w:w="80" w:type="dxa"/>
              <w:end w:w="100" w:type="dxa"/>
            </w:tcMar>
            <w:vAlign w:val="center"/>
          </w:tcPr>
          <w:p>
            <w:r>
              <w:rPr>
                <w:rFonts w:ascii="Aptos" w:hAnsi="Aptos"/>
                <w:sz w:val="18"/>
              </w:rPr>
              <w:t>Low and trending downward as calibration improves</w:t>
            </w:r>
          </w:p>
        </w:tc>
      </w:tr>
      <w:tr>
        <w:tc>
          <w:tcPr>
            <w:tcW w:type="dxa" w:w="4968"/>
            <w:tcMar>
              <w:top w:w="80" w:type="dxa"/>
              <w:start w:w="100" w:type="dxa"/>
              <w:bottom w:w="80" w:type="dxa"/>
              <w:end w:w="100" w:type="dxa"/>
            </w:tcMar>
            <w:vAlign w:val="center"/>
          </w:tcPr>
          <w:p>
            <w:r>
              <w:rPr>
                <w:rFonts w:ascii="Aptos" w:hAnsi="Aptos"/>
                <w:sz w:val="18"/>
              </w:rPr>
              <w:t>Incorrectly auto-confirmed alert-driving fields</w:t>
            </w:r>
          </w:p>
        </w:tc>
        <w:tc>
          <w:tcPr>
            <w:tcW w:type="dxa" w:w="4968"/>
            <w:tcMar>
              <w:top w:w="80" w:type="dxa"/>
              <w:start w:w="100" w:type="dxa"/>
              <w:bottom w:w="80" w:type="dxa"/>
              <w:end w:w="100" w:type="dxa"/>
            </w:tcMar>
            <w:vAlign w:val="center"/>
          </w:tcPr>
          <w:p>
            <w:r>
              <w:rPr>
                <w:rFonts w:ascii="Aptos" w:hAnsi="Aptos"/>
                <w:sz w:val="18"/>
              </w:rPr>
              <w:t>As close to zero as possible; treated as a trust breach metric</w:t>
            </w:r>
          </w:p>
        </w:tc>
      </w:tr>
      <w:tr>
        <w:tc>
          <w:tcPr>
            <w:tcW w:type="dxa" w:w="4968"/>
            <w:tcMar>
              <w:top w:w="80" w:type="dxa"/>
              <w:start w:w="100" w:type="dxa"/>
              <w:bottom w:w="80" w:type="dxa"/>
              <w:end w:w="100" w:type="dxa"/>
            </w:tcMar>
            <w:vAlign w:val="center"/>
          </w:tcPr>
          <w:p>
            <w:r>
              <w:rPr>
                <w:rFonts w:ascii="Aptos" w:hAnsi="Aptos"/>
                <w:sz w:val="18"/>
              </w:rPr>
              <w:t>Standard-priority fields resolved within 7 days</w:t>
            </w:r>
          </w:p>
        </w:tc>
        <w:tc>
          <w:tcPr>
            <w:tcW w:type="dxa" w:w="4968"/>
            <w:tcMar>
              <w:top w:w="80" w:type="dxa"/>
              <w:start w:w="100" w:type="dxa"/>
              <w:bottom w:w="80" w:type="dxa"/>
              <w:end w:w="100" w:type="dxa"/>
            </w:tcMar>
            <w:vAlign w:val="center"/>
          </w:tcPr>
          <w:p>
            <w:r>
              <w:rPr>
                <w:rFonts w:ascii="Aptos" w:hAnsi="Aptos"/>
                <w:sz w:val="18"/>
              </w:rPr>
              <w:t>Tracked and optimized as a post-activation completion metric</w:t>
            </w:r>
          </w:p>
        </w:tc>
      </w:tr>
      <w:tr>
        <w:tc>
          <w:tcPr>
            <w:tcW w:type="dxa" w:w="4968"/>
            <w:tcMar>
              <w:top w:w="80" w:type="dxa"/>
              <w:start w:w="100" w:type="dxa"/>
              <w:bottom w:w="80" w:type="dxa"/>
              <w:end w:w="100" w:type="dxa"/>
            </w:tcMar>
            <w:vAlign w:val="center"/>
          </w:tcPr>
          <w:p>
            <w:r>
              <w:rPr>
                <w:rFonts w:ascii="Aptos" w:hAnsi="Aptos"/>
                <w:sz w:val="18"/>
              </w:rPr>
              <w:t>User edits per field family</w:t>
            </w:r>
          </w:p>
        </w:tc>
        <w:tc>
          <w:tcPr>
            <w:tcW w:type="dxa" w:w="4968"/>
            <w:tcMar>
              <w:top w:w="80" w:type="dxa"/>
              <w:start w:w="100" w:type="dxa"/>
              <w:bottom w:w="80" w:type="dxa"/>
              <w:end w:w="100" w:type="dxa"/>
            </w:tcMar>
            <w:vAlign w:val="center"/>
          </w:tcPr>
          <w:p>
            <w:r>
              <w:rPr>
                <w:rFonts w:ascii="Aptos" w:hAnsi="Aptos"/>
                <w:sz w:val="18"/>
              </w:rPr>
              <w:t>Used as calibration and product quality input, not as a standalone success measure</w:t>
            </w:r>
          </w:p>
        </w:tc>
      </w:tr>
    </w:tbl>
    <w:p>
      <w:pPr>
        <w:pStyle w:val="Heading1"/>
      </w:pPr>
      <w:r>
        <w:t>12. Risks and Mitigations</w:t>
      </w:r>
    </w:p>
    <w:p>
      <w:pPr>
        <w:ind w:left="360" w:hanging="216"/>
      </w:pPr>
      <w:r>
        <w:rPr>
          <w:b/>
        </w:rPr>
        <w:t xml:space="preserve">• </w:t>
      </w:r>
      <w:r>
        <w:t>Risk: the review screen regresses into a giant editable setup form. Mitigation: preserve exception-first hierarchy and visually de-emphasize non-gating fields.</w:t>
      </w:r>
    </w:p>
    <w:p>
      <w:pPr>
        <w:ind w:left="360" w:hanging="216"/>
      </w:pPr>
      <w:r>
        <w:rPr>
          <w:b/>
        </w:rPr>
        <w:t xml:space="preserve">• </w:t>
      </w:r>
      <w:r>
        <w:t>Risk: raw confidence scores create misleading UX. Mitigation: treat readiness as composite and calibrate by field family.</w:t>
      </w:r>
    </w:p>
    <w:p>
      <w:pPr>
        <w:ind w:left="360" w:hanging="216"/>
      </w:pPr>
      <w:r>
        <w:rPr>
          <w:b/>
        </w:rPr>
        <w:t xml:space="preserve">• </w:t>
      </w:r>
      <w:r>
        <w:t>Risk: amendments and conflicting clauses produce false certainty. Mitigation: add precedence checks and block auto-confirm when conflict remains unresolved.</w:t>
      </w:r>
    </w:p>
    <w:p>
      <w:pPr>
        <w:ind w:left="360" w:hanging="216"/>
      </w:pPr>
      <w:r>
        <w:rPr>
          <w:b/>
        </w:rPr>
        <w:t xml:space="preserve">• </w:t>
      </w:r>
      <w:r>
        <w:t>Risk: lease-specific alert families create inconsistent gating. Mitigation: enforce field-to-alert family dependency rules in one canonical mapping reference.</w:t>
      </w:r>
    </w:p>
    <w:p>
      <w:pPr>
        <w:ind w:left="360" w:hanging="216"/>
      </w:pPr>
      <w:r>
        <w:rPr>
          <w:b/>
        </w:rPr>
        <w:t xml:space="preserve">• </w:t>
      </w:r>
      <w:r>
        <w:t>Risk: post-activation data quality stalls. Mitigation: keep standard-priority follow-through visible and measure 7-day resolution.</w:t>
      </w:r>
    </w:p>
    <w:p>
      <w:pPr>
        <w:pStyle w:val="Heading1"/>
      </w:pPr>
      <w:r>
        <w:t>13. Positioning</w:t>
      </w:r>
    </w:p>
    <w:p>
      <w:r>
        <w:t>This feature answers the core buyer objection: “I cannot blindly trust AI with my contract deadlines.” PactBadger’s response is: you do not have to. The system builds the record for you, shows only the exceptions that matter, and activates tracking only when the alert model is safe to trust.</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574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57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57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color w:val="5A61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