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200" w:before="0" w:line="276"/>
        <w:jc w:val="center"/>
      </w:pPr>
      <w:r>
        <w:rPr>
          <w:rFonts w:ascii="Times New Roman" w:cs="Times New Roman" w:eastAsia="Times New Roman" w:hAnsi="Times New Roman"/>
          <w:b/>
          <w:bCs/>
          <w:i w:val="false"/>
          <w:iCs w:val="false"/>
          <w:sz w:val="36"/>
          <w:szCs w:val="36"/>
        </w:rPr>
        <w:t xml:space="preserve">COMMERCIAL LEASE AGREEMENT</w:t>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200" w:before="0" w:line="276"/>
        <w:jc w:val="center"/>
      </w:pPr>
      <w:r>
        <w:rPr>
          <w:rFonts w:ascii="Times New Roman" w:cs="Times New Roman" w:eastAsia="Times New Roman" w:hAnsi="Times New Roman"/>
          <w:b w:val="false"/>
          <w:bCs w:val="false"/>
          <w:i w:val="false"/>
          <w:iCs w:val="false"/>
          <w:sz w:val="28"/>
          <w:szCs w:val="28"/>
        </w:rPr>
        <w:t xml:space="preserve">between</w:t>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60" w:before="0" w:line="276"/>
        <w:jc w:val="center"/>
      </w:pPr>
      <w:r>
        <w:rPr>
          <w:rFonts w:ascii="Times New Roman" w:cs="Times New Roman" w:eastAsia="Times New Roman" w:hAnsi="Times New Roman"/>
          <w:b/>
          <w:bCs/>
          <w:i w:val="false"/>
          <w:iCs w:val="false"/>
          <w:sz w:val="32"/>
          <w:szCs w:val="32"/>
        </w:rPr>
        <w:t xml:space="preserve">BROOKFIELD COMMERCIAL PROPERTIES, LLC</w:t>
      </w:r>
    </w:p>
    <w:p>
      <w:pPr>
        <w:spacing w:after="200" w:before="0" w:line="276"/>
        <w:jc w:val="center"/>
      </w:pPr>
      <w:r>
        <w:rPr>
          <w:rFonts w:ascii="Times New Roman" w:cs="Times New Roman" w:eastAsia="Times New Roman" w:hAnsi="Times New Roman"/>
          <w:b w:val="false"/>
          <w:bCs w:val="false"/>
          <w:i w:val="false"/>
          <w:iCs w:val="false"/>
          <w:sz w:val="24"/>
          <w:szCs w:val="24"/>
        </w:rPr>
        <w:t xml:space="preserve">("Landlord")</w:t>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200" w:before="0" w:line="276"/>
        <w:jc w:val="center"/>
      </w:pPr>
      <w:r>
        <w:rPr>
          <w:rFonts w:ascii="Times New Roman" w:cs="Times New Roman" w:eastAsia="Times New Roman" w:hAnsi="Times New Roman"/>
          <w:b w:val="false"/>
          <w:bCs w:val="false"/>
          <w:i w:val="false"/>
          <w:iCs w:val="false"/>
          <w:sz w:val="28"/>
          <w:szCs w:val="28"/>
        </w:rPr>
        <w:t xml:space="preserve">and</w:t>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60" w:before="0" w:line="276"/>
        <w:jc w:val="center"/>
      </w:pPr>
      <w:r>
        <w:rPr>
          <w:rFonts w:ascii="Times New Roman" w:cs="Times New Roman" w:eastAsia="Times New Roman" w:hAnsi="Times New Roman"/>
          <w:b/>
          <w:bCs/>
          <w:i w:val="false"/>
          <w:iCs w:val="false"/>
          <w:sz w:val="32"/>
          <w:szCs w:val="32"/>
        </w:rPr>
        <w:t xml:space="preserve">CLEARPATH ANALYTICS, INC.</w:t>
      </w:r>
    </w:p>
    <w:p>
      <w:pPr>
        <w:spacing w:after="300" w:before="0" w:line="276"/>
        <w:jc w:val="center"/>
      </w:pPr>
      <w:r>
        <w:rPr>
          <w:rFonts w:ascii="Times New Roman" w:cs="Times New Roman" w:eastAsia="Times New Roman" w:hAnsi="Times New Roman"/>
          <w:b w:val="false"/>
          <w:bCs w:val="false"/>
          <w:i w:val="false"/>
          <w:iCs w:val="false"/>
          <w:sz w:val="24"/>
          <w:szCs w:val="24"/>
        </w:rPr>
        <w:t xml:space="preserve">("Tenant")</w:t>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100" w:before="0" w:line="276"/>
        <w:jc w:val="center"/>
      </w:pPr>
      <w:r>
        <w:rPr>
          <w:rFonts w:ascii="Times New Roman" w:cs="Times New Roman" w:eastAsia="Times New Roman" w:hAnsi="Times New Roman"/>
          <w:b w:val="false"/>
          <w:bCs w:val="false"/>
          <w:i w:val="false"/>
          <w:iCs w:val="false"/>
          <w:sz w:val="24"/>
          <w:szCs w:val="24"/>
        </w:rPr>
        <w:t xml:space="preserve">Premises: Suite 500, 800 Lakeshore Drive, Chicago, Illinois 60611</w:t>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60" w:before="0" w:line="276"/>
        <w:jc w:val="center"/>
      </w:pPr>
      <w:r>
        <w:rPr>
          <w:rFonts w:ascii="Times New Roman" w:cs="Times New Roman" w:eastAsia="Times New Roman" w:hAnsi="Times New Roman"/>
          <w:b w:val="false"/>
          <w:bCs w:val="false"/>
          <w:i w:val="false"/>
          <w:iCs w:val="false"/>
          <w:sz w:val="24"/>
          <w:szCs w:val="24"/>
        </w:rPr>
        <w:t xml:space="preserve">Dated: February 1, 2025</w:t>
      </w:r>
    </w:p>
    <w:p>
      <w:pPr>
        <w:spacing w:after="200" w:before="0" w:line="276"/>
        <w:jc w:val="center"/>
      </w:pPr>
      <w:r>
        <w:rPr>
          <w:rFonts w:ascii="Times New Roman" w:cs="Times New Roman" w:eastAsia="Times New Roman" w:hAnsi="Times New Roman"/>
          <w:b w:val="false"/>
          <w:bCs w:val="false"/>
          <w:i/>
          <w:iCs/>
          <w:sz w:val="20"/>
          <w:szCs w:val="20"/>
        </w:rPr>
        <w:t xml:space="preserve">SEC Filing Reference: Exhibit 10.1</w:t>
      </w:r>
    </w:p>
    <w:p>
      <w:r>
        <w:br w:type="page"/>
      </w:r>
    </w:p>
    <w:p>
      <w:pPr>
        <w:pStyle w:val="Heading1"/>
        <w:spacing w:after="240" w:before="300" w:line="276"/>
        <w:jc w:val="center"/>
      </w:pPr>
      <w:r>
        <w:rPr>
          <w:rFonts w:ascii="Times New Roman" w:cs="Times New Roman" w:eastAsia="Times New Roman" w:hAnsi="Times New Roman"/>
          <w:b/>
          <w:bCs/>
          <w:i w:val="false"/>
          <w:iCs w:val="false"/>
          <w:sz w:val="32"/>
          <w:szCs w:val="32"/>
        </w:rPr>
        <w:t xml:space="preserve">BASIC LEASE INFORMATION</w:t>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spacing w:after="0"/>
            </w:pPr>
            <w:r>
              <w:rPr>
                <w:rFonts w:ascii="Times New Roman" w:cs="Times New Roman" w:eastAsia="Times New Roman" w:hAnsi="Times New Roman"/>
                <w:b/>
                <w:bCs/>
                <w:sz w:val="22"/>
                <w:szCs w:val="22"/>
              </w:rPr>
              <w:t xml:space="preserve">Lease Date:</w:t>
            </w:r>
          </w:p>
        </w:tc>
        <w:tc>
          <w:tcPr>
            <w:tcW w:type="dxa" w:w="6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pPr>
            <w:r>
              <w:rPr>
                <w:rFonts w:ascii="Times New Roman" w:cs="Times New Roman" w:eastAsia="Times New Roman" w:hAnsi="Times New Roman"/>
                <w:sz w:val="22"/>
                <w:szCs w:val="22"/>
              </w:rPr>
              <w:t xml:space="preserve">February 1, 2025</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spacing w:after="0"/>
            </w:pPr>
            <w:r>
              <w:rPr>
                <w:rFonts w:ascii="Times New Roman" w:cs="Times New Roman" w:eastAsia="Times New Roman" w:hAnsi="Times New Roman"/>
                <w:b/>
                <w:bCs/>
                <w:sz w:val="22"/>
                <w:szCs w:val="22"/>
              </w:rPr>
              <w:t xml:space="preserve">Landlord:</w:t>
            </w:r>
          </w:p>
        </w:tc>
        <w:tc>
          <w:tcPr>
            <w:tcW w:type="dxa" w:w="6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pPr>
            <w:r>
              <w:rPr>
                <w:rFonts w:ascii="Times New Roman" w:cs="Times New Roman" w:eastAsia="Times New Roman" w:hAnsi="Times New Roman"/>
                <w:sz w:val="22"/>
                <w:szCs w:val="22"/>
              </w:rPr>
              <w:t xml:space="preserve">Brookfield Commercial Properties, LLC, an Illinois limited liability company</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spacing w:after="0"/>
            </w:pPr>
            <w:r>
              <w:rPr>
                <w:rFonts w:ascii="Times New Roman" w:cs="Times New Roman" w:eastAsia="Times New Roman" w:hAnsi="Times New Roman"/>
                <w:b/>
                <w:bCs/>
                <w:sz w:val="22"/>
                <w:szCs w:val="22"/>
              </w:rPr>
              <w:t xml:space="preserve">Landlord Address:</w:t>
            </w:r>
          </w:p>
        </w:tc>
        <w:tc>
          <w:tcPr>
            <w:tcW w:type="dxa" w:w="6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pPr>
            <w:r>
              <w:rPr>
                <w:rFonts w:ascii="Times New Roman" w:cs="Times New Roman" w:eastAsia="Times New Roman" w:hAnsi="Times New Roman"/>
                <w:sz w:val="22"/>
                <w:szCs w:val="22"/>
              </w:rPr>
              <w:t xml:space="preserve">200 West Adams Street, Suite 3200, Chicago, IL 60606</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spacing w:after="0"/>
            </w:pPr>
            <w:r>
              <w:rPr>
                <w:rFonts w:ascii="Times New Roman" w:cs="Times New Roman" w:eastAsia="Times New Roman" w:hAnsi="Times New Roman"/>
                <w:b/>
                <w:bCs/>
                <w:sz w:val="22"/>
                <w:szCs w:val="22"/>
              </w:rPr>
              <w:t xml:space="preserve">Tenant:</w:t>
            </w:r>
          </w:p>
        </w:tc>
        <w:tc>
          <w:tcPr>
            <w:tcW w:type="dxa" w:w="6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pPr>
            <w:r>
              <w:rPr>
                <w:rFonts w:ascii="Times New Roman" w:cs="Times New Roman" w:eastAsia="Times New Roman" w:hAnsi="Times New Roman"/>
                <w:sz w:val="22"/>
                <w:szCs w:val="22"/>
              </w:rPr>
              <w:t xml:space="preserve">ClearPath Analytics, Inc., a Delaware corporation</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spacing w:after="0"/>
            </w:pPr>
            <w:r>
              <w:rPr>
                <w:rFonts w:ascii="Times New Roman" w:cs="Times New Roman" w:eastAsia="Times New Roman" w:hAnsi="Times New Roman"/>
                <w:b/>
                <w:bCs/>
                <w:sz w:val="22"/>
                <w:szCs w:val="22"/>
              </w:rPr>
              <w:t xml:space="preserve">Tenant Address:</w:t>
            </w:r>
          </w:p>
        </w:tc>
        <w:tc>
          <w:tcPr>
            <w:tcW w:type="dxa" w:w="6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pPr>
            <w:r>
              <w:rPr>
                <w:rFonts w:ascii="Times New Roman" w:cs="Times New Roman" w:eastAsia="Times New Roman" w:hAnsi="Times New Roman"/>
                <w:sz w:val="22"/>
                <w:szCs w:val="22"/>
              </w:rPr>
              <w:t xml:space="preserve">Suite 500, 800 Lakeshore Drive, Chicago, IL 60611</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spacing w:after="0"/>
            </w:pPr>
            <w:r>
              <w:rPr>
                <w:rFonts w:ascii="Times New Roman" w:cs="Times New Roman" w:eastAsia="Times New Roman" w:hAnsi="Times New Roman"/>
                <w:b/>
                <w:bCs/>
                <w:sz w:val="22"/>
                <w:szCs w:val="22"/>
              </w:rPr>
              <w:t xml:space="preserve">Building:</w:t>
            </w:r>
          </w:p>
        </w:tc>
        <w:tc>
          <w:tcPr>
            <w:tcW w:type="dxa" w:w="6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pPr>
            <w:r>
              <w:rPr>
                <w:rFonts w:ascii="Times New Roman" w:cs="Times New Roman" w:eastAsia="Times New Roman" w:hAnsi="Times New Roman"/>
                <w:sz w:val="22"/>
                <w:szCs w:val="22"/>
              </w:rPr>
              <w:t xml:space="preserve">Lakeshore Center, 800 Lakeshore Drive, Chicago, Illinois 60611</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spacing w:after="0"/>
            </w:pPr>
            <w:r>
              <w:rPr>
                <w:rFonts w:ascii="Times New Roman" w:cs="Times New Roman" w:eastAsia="Times New Roman" w:hAnsi="Times New Roman"/>
                <w:b/>
                <w:bCs/>
                <w:sz w:val="22"/>
                <w:szCs w:val="22"/>
              </w:rPr>
              <w:t xml:space="preserve">Premises:</w:t>
            </w:r>
          </w:p>
        </w:tc>
        <w:tc>
          <w:tcPr>
            <w:tcW w:type="dxa" w:w="6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pPr>
            <w:r>
              <w:rPr>
                <w:rFonts w:ascii="Times New Roman" w:cs="Times New Roman" w:eastAsia="Times New Roman" w:hAnsi="Times New Roman"/>
                <w:sz w:val="22"/>
                <w:szCs w:val="22"/>
              </w:rPr>
              <w:t xml:space="preserve">Suite 500, 5th Floor, approximately 15,000 rentable square feet</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spacing w:after="0"/>
            </w:pPr>
            <w:r>
              <w:rPr>
                <w:rFonts w:ascii="Times New Roman" w:cs="Times New Roman" w:eastAsia="Times New Roman" w:hAnsi="Times New Roman"/>
                <w:b/>
                <w:bCs/>
                <w:sz w:val="22"/>
                <w:szCs w:val="22"/>
              </w:rPr>
              <w:t xml:space="preserve">Permitted Use:</w:t>
            </w:r>
          </w:p>
        </w:tc>
        <w:tc>
          <w:tcPr>
            <w:tcW w:type="dxa" w:w="6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pPr>
            <w:r>
              <w:rPr>
                <w:rFonts w:ascii="Times New Roman" w:cs="Times New Roman" w:eastAsia="Times New Roman" w:hAnsi="Times New Roman"/>
                <w:sz w:val="22"/>
                <w:szCs w:val="22"/>
              </w:rPr>
              <w:t xml:space="preserve">General office use and software development</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spacing w:after="0"/>
            </w:pPr>
            <w:r>
              <w:rPr>
                <w:rFonts w:ascii="Times New Roman" w:cs="Times New Roman" w:eastAsia="Times New Roman" w:hAnsi="Times New Roman"/>
                <w:b/>
                <w:bCs/>
                <w:sz w:val="22"/>
                <w:szCs w:val="22"/>
              </w:rPr>
              <w:t xml:space="preserve">Lease Term:</w:t>
            </w:r>
          </w:p>
        </w:tc>
        <w:tc>
          <w:tcPr>
            <w:tcW w:type="dxa" w:w="6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pPr>
            <w:r>
              <w:rPr>
                <w:rFonts w:ascii="Times New Roman" w:cs="Times New Roman" w:eastAsia="Times New Roman" w:hAnsi="Times New Roman"/>
                <w:sz w:val="22"/>
                <w:szCs w:val="22"/>
              </w:rPr>
              <w:t xml:space="preserve">Five (5) years</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spacing w:after="0"/>
            </w:pPr>
            <w:r>
              <w:rPr>
                <w:rFonts w:ascii="Times New Roman" w:cs="Times New Roman" w:eastAsia="Times New Roman" w:hAnsi="Times New Roman"/>
                <w:b/>
                <w:bCs/>
                <w:sz w:val="22"/>
                <w:szCs w:val="22"/>
              </w:rPr>
              <w:t xml:space="preserve">Commencement Date:</w:t>
            </w:r>
          </w:p>
        </w:tc>
        <w:tc>
          <w:tcPr>
            <w:tcW w:type="dxa" w:w="6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pPr>
            <w:r>
              <w:rPr>
                <w:rFonts w:ascii="Times New Roman" w:cs="Times New Roman" w:eastAsia="Times New Roman" w:hAnsi="Times New Roman"/>
                <w:sz w:val="22"/>
                <w:szCs w:val="22"/>
              </w:rPr>
              <w:t xml:space="preserve">May 1, 2025</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spacing w:after="0"/>
            </w:pPr>
            <w:r>
              <w:rPr>
                <w:rFonts w:ascii="Times New Roman" w:cs="Times New Roman" w:eastAsia="Times New Roman" w:hAnsi="Times New Roman"/>
                <w:b/>
                <w:bCs/>
                <w:sz w:val="22"/>
                <w:szCs w:val="22"/>
              </w:rPr>
              <w:t xml:space="preserve">Expiration Date:</w:t>
            </w:r>
          </w:p>
        </w:tc>
        <w:tc>
          <w:tcPr>
            <w:tcW w:type="dxa" w:w="6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pPr>
            <w:r>
              <w:rPr>
                <w:rFonts w:ascii="Times New Roman" w:cs="Times New Roman" w:eastAsia="Times New Roman" w:hAnsi="Times New Roman"/>
                <w:sz w:val="22"/>
                <w:szCs w:val="22"/>
              </w:rPr>
              <w:t xml:space="preserve">April 30, 2030</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spacing w:after="0"/>
            </w:pPr>
            <w:r>
              <w:rPr>
                <w:rFonts w:ascii="Times New Roman" w:cs="Times New Roman" w:eastAsia="Times New Roman" w:hAnsi="Times New Roman"/>
                <w:b/>
                <w:bCs/>
                <w:sz w:val="22"/>
                <w:szCs w:val="22"/>
              </w:rPr>
              <w:t xml:space="preserve">Base Rent:</w:t>
            </w:r>
          </w:p>
        </w:tc>
        <w:tc>
          <w:tcPr>
            <w:tcW w:type="dxa" w:w="6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pPr>
            <w:r>
              <w:rPr>
                <w:rFonts w:ascii="Times New Roman" w:cs="Times New Roman" w:eastAsia="Times New Roman" w:hAnsi="Times New Roman"/>
                <w:sz w:val="22"/>
                <w:szCs w:val="22"/>
              </w:rPr>
              <w:t xml:space="preserve">See Section 3 — Rent Schedule</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spacing w:after="0"/>
            </w:pPr>
            <w:r>
              <w:rPr>
                <w:rFonts w:ascii="Times New Roman" w:cs="Times New Roman" w:eastAsia="Times New Roman" w:hAnsi="Times New Roman"/>
                <w:b/>
                <w:bCs/>
                <w:sz w:val="22"/>
                <w:szCs w:val="22"/>
              </w:rPr>
              <w:t xml:space="preserve">Annual Escalation:</w:t>
            </w:r>
          </w:p>
        </w:tc>
        <w:tc>
          <w:tcPr>
            <w:tcW w:type="dxa" w:w="6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pPr>
            <w:r>
              <w:rPr>
                <w:rFonts w:ascii="Times New Roman" w:cs="Times New Roman" w:eastAsia="Times New Roman" w:hAnsi="Times New Roman"/>
                <w:sz w:val="22"/>
                <w:szCs w:val="22"/>
              </w:rPr>
              <w:t xml:space="preserve">3.0% fixed annual increases</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spacing w:after="0"/>
            </w:pPr>
            <w:r>
              <w:rPr>
                <w:rFonts w:ascii="Times New Roman" w:cs="Times New Roman" w:eastAsia="Times New Roman" w:hAnsi="Times New Roman"/>
                <w:b/>
                <w:bCs/>
                <w:sz w:val="22"/>
                <w:szCs w:val="22"/>
              </w:rPr>
              <w:t xml:space="preserve">Tenant's Share:</w:t>
            </w:r>
          </w:p>
        </w:tc>
        <w:tc>
          <w:tcPr>
            <w:tcW w:type="dxa" w:w="6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pPr>
            <w:r>
              <w:rPr>
                <w:rFonts w:ascii="Times New Roman" w:cs="Times New Roman" w:eastAsia="Times New Roman" w:hAnsi="Times New Roman"/>
                <w:sz w:val="22"/>
                <w:szCs w:val="22"/>
              </w:rPr>
              <w:t xml:space="preserve">6.25% (15,000 RSF / 240,000 Building RSF)</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spacing w:after="0"/>
            </w:pPr>
            <w:r>
              <w:rPr>
                <w:rFonts w:ascii="Times New Roman" w:cs="Times New Roman" w:eastAsia="Times New Roman" w:hAnsi="Times New Roman"/>
                <w:b/>
                <w:bCs/>
                <w:sz w:val="22"/>
                <w:szCs w:val="22"/>
              </w:rPr>
              <w:t xml:space="preserve">Operating Expense Base Year:</w:t>
            </w:r>
          </w:p>
        </w:tc>
        <w:tc>
          <w:tcPr>
            <w:tcW w:type="dxa" w:w="6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pPr>
            <w:r>
              <w:rPr>
                <w:rFonts w:ascii="Times New Roman" w:cs="Times New Roman" w:eastAsia="Times New Roman" w:hAnsi="Times New Roman"/>
                <w:sz w:val="22"/>
                <w:szCs w:val="22"/>
              </w:rPr>
              <w:t xml:space="preserve">Calendar year 2025</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spacing w:after="0"/>
            </w:pPr>
            <w:r>
              <w:rPr>
                <w:rFonts w:ascii="Times New Roman" w:cs="Times New Roman" w:eastAsia="Times New Roman" w:hAnsi="Times New Roman"/>
                <w:b/>
                <w:bCs/>
                <w:sz w:val="22"/>
                <w:szCs w:val="22"/>
              </w:rPr>
              <w:t xml:space="preserve">Security Deposit:</w:t>
            </w:r>
          </w:p>
        </w:tc>
        <w:tc>
          <w:tcPr>
            <w:tcW w:type="dxa" w:w="6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pPr>
            <w:r>
              <w:rPr>
                <w:rFonts w:ascii="Times New Roman" w:cs="Times New Roman" w:eastAsia="Times New Roman" w:hAnsi="Times New Roman"/>
                <w:sz w:val="22"/>
                <w:szCs w:val="22"/>
              </w:rPr>
              <w:t xml:space="preserve">$75,000.00</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spacing w:after="0"/>
            </w:pPr>
            <w:r>
              <w:rPr>
                <w:rFonts w:ascii="Times New Roman" w:cs="Times New Roman" w:eastAsia="Times New Roman" w:hAnsi="Times New Roman"/>
                <w:b/>
                <w:bCs/>
                <w:sz w:val="22"/>
                <w:szCs w:val="22"/>
              </w:rPr>
              <w:t xml:space="preserve">Tenant Improvement Allowance:</w:t>
            </w:r>
          </w:p>
        </w:tc>
        <w:tc>
          <w:tcPr>
            <w:tcW w:type="dxa" w:w="6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pPr>
            <w:r>
              <w:rPr>
                <w:rFonts w:ascii="Times New Roman" w:cs="Times New Roman" w:eastAsia="Times New Roman" w:hAnsi="Times New Roman"/>
                <w:sz w:val="22"/>
                <w:szCs w:val="22"/>
              </w:rPr>
              <w:t xml:space="preserve">$600,000.00 ($40.00 per RSF)</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spacing w:after="0"/>
            </w:pPr>
            <w:r>
              <w:rPr>
                <w:rFonts w:ascii="Times New Roman" w:cs="Times New Roman" w:eastAsia="Times New Roman" w:hAnsi="Times New Roman"/>
                <w:b/>
                <w:bCs/>
                <w:sz w:val="22"/>
                <w:szCs w:val="22"/>
              </w:rPr>
              <w:t xml:space="preserve">Parking:</w:t>
            </w:r>
          </w:p>
        </w:tc>
        <w:tc>
          <w:tcPr>
            <w:tcW w:type="dxa" w:w="6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pPr>
            <w:r>
              <w:rPr>
                <w:rFonts w:ascii="Times New Roman" w:cs="Times New Roman" w:eastAsia="Times New Roman" w:hAnsi="Times New Roman"/>
                <w:sz w:val="22"/>
                <w:szCs w:val="22"/>
              </w:rPr>
              <w:t xml:space="preserve">30 unreserved spaces at $200/month each</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spacing w:after="0"/>
            </w:pPr>
            <w:r>
              <w:rPr>
                <w:rFonts w:ascii="Times New Roman" w:cs="Times New Roman" w:eastAsia="Times New Roman" w:hAnsi="Times New Roman"/>
                <w:b/>
                <w:bCs/>
                <w:sz w:val="22"/>
                <w:szCs w:val="22"/>
              </w:rPr>
              <w:t xml:space="preserve">Renewal Option:</w:t>
            </w:r>
          </w:p>
        </w:tc>
        <w:tc>
          <w:tcPr>
            <w:tcW w:type="dxa" w:w="6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pPr>
            <w:r>
              <w:rPr>
                <w:rFonts w:ascii="Times New Roman" w:cs="Times New Roman" w:eastAsia="Times New Roman" w:hAnsi="Times New Roman"/>
                <w:sz w:val="22"/>
                <w:szCs w:val="22"/>
              </w:rPr>
              <w:t xml:space="preserve">One (1) option for five (5) additional years</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spacing w:after="0"/>
            </w:pPr>
            <w:r>
              <w:rPr>
                <w:rFonts w:ascii="Times New Roman" w:cs="Times New Roman" w:eastAsia="Times New Roman" w:hAnsi="Times New Roman"/>
                <w:b/>
                <w:bCs/>
                <w:sz w:val="22"/>
                <w:szCs w:val="22"/>
              </w:rPr>
              <w:t xml:space="preserve">Broker — Landlord:</w:t>
            </w:r>
          </w:p>
        </w:tc>
        <w:tc>
          <w:tcPr>
            <w:tcW w:type="dxa" w:w="6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pPr>
            <w:r>
              <w:rPr>
                <w:rFonts w:ascii="Times New Roman" w:cs="Times New Roman" w:eastAsia="Times New Roman" w:hAnsi="Times New Roman"/>
                <w:sz w:val="22"/>
                <w:szCs w:val="22"/>
              </w:rPr>
              <w:t xml:space="preserve">Cushman &amp; Wakefield</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spacing w:after="0"/>
            </w:pPr>
            <w:r>
              <w:rPr>
                <w:rFonts w:ascii="Times New Roman" w:cs="Times New Roman" w:eastAsia="Times New Roman" w:hAnsi="Times New Roman"/>
                <w:b/>
                <w:bCs/>
                <w:sz w:val="22"/>
                <w:szCs w:val="22"/>
              </w:rPr>
              <w:t xml:space="preserve">Broker — Tenant:</w:t>
            </w:r>
          </w:p>
        </w:tc>
        <w:tc>
          <w:tcPr>
            <w:tcW w:type="dxa" w:w="6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pPr>
            <w:r>
              <w:rPr>
                <w:rFonts w:ascii="Times New Roman" w:cs="Times New Roman" w:eastAsia="Times New Roman" w:hAnsi="Times New Roman"/>
                <w:sz w:val="22"/>
                <w:szCs w:val="22"/>
              </w:rPr>
              <w:t xml:space="preserve">Savills, Inc.</w:t>
            </w:r>
          </w:p>
        </w:tc>
      </w:tr>
    </w:tbl>
    <w:p>
      <w:r>
        <w:br w:type="page"/>
      </w:r>
    </w:p>
    <w:p>
      <w:pPr>
        <w:pStyle w:val="Heading1"/>
        <w:spacing w:after="240" w:before="300" w:line="276"/>
        <w:jc w:val="center"/>
      </w:pPr>
      <w:r>
        <w:rPr>
          <w:rFonts w:ascii="Times New Roman" w:cs="Times New Roman" w:eastAsia="Times New Roman" w:hAnsi="Times New Roman"/>
          <w:b/>
          <w:bCs/>
          <w:i w:val="false"/>
          <w:iCs w:val="false"/>
          <w:sz w:val="32"/>
          <w:szCs w:val="32"/>
        </w:rPr>
        <w:t xml:space="preserve">SECTION 1 — PREMISES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1.1  Landlord leases to Tenant, and Tenant leases from Landlord, Suite 500 on the fifth (5th) floor of the building known as Lakeshore Center, located at 800 Lakeshore Drive, Chicago, Illinois 60611 (the "Building"), comprising approximately 15,000 rentable square feet (the "Premises"), as depicted on Exhibit A attached hereto.</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1.2  The Premises are measured in accordance with the Building Owners and Managers Association (BOMA) 2017 Standard. The rentable square footage is agreed upon by both parties and shall not be subject to remeasurement.</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1.3  Tenant shall have the non-exclusive right to use the Building's common areas, including the lobby, elevators, stairwells, restrooms, and loading dock.</w:t>
      </w:r>
    </w:p>
    <w:p>
      <w:pPr>
        <w:pStyle w:val="Heading1"/>
        <w:spacing w:after="240" w:before="300" w:line="276"/>
        <w:jc w:val="center"/>
      </w:pPr>
      <w:r>
        <w:rPr>
          <w:rFonts w:ascii="Times New Roman" w:cs="Times New Roman" w:eastAsia="Times New Roman" w:hAnsi="Times New Roman"/>
          <w:b/>
          <w:bCs/>
          <w:i w:val="false"/>
          <w:iCs w:val="false"/>
          <w:sz w:val="32"/>
          <w:szCs w:val="32"/>
        </w:rPr>
        <w:t xml:space="preserve">SECTION 2 — TERM</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2.1  The Lease Term shall be five (5) years, commencing on May 1, 2025 (the "Commencement Date") and expiring on April 30, 2030 (the "Expiration Date").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2.2  If Landlord is unable to deliver the Premises by the Commencement Date, Landlord shall not be liable, but the Commencement Date shall be postponed to the date of delivery and the Expiration Date shall be extended accordingly. If delivery does not occur within ninety (90) days after the Commencement Date, Tenant may terminate this Lease upon written notice.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2.3  Within thirty (30) days after the Commencement Date, the parties shall execute a Commencement Date Confirmation in the form of Exhibit B.</w:t>
      </w:r>
    </w:p>
    <w:p>
      <w:pPr>
        <w:pStyle w:val="Heading1"/>
        <w:pageBreakBefore/>
        <w:spacing w:after="240" w:before="300" w:line="276"/>
        <w:jc w:val="center"/>
      </w:pPr>
      <w:r>
        <w:rPr>
          <w:rFonts w:ascii="Times New Roman" w:cs="Times New Roman" w:eastAsia="Times New Roman" w:hAnsi="Times New Roman"/>
          <w:b/>
          <w:bCs/>
          <w:i w:val="false"/>
          <w:iCs w:val="false"/>
          <w:sz w:val="32"/>
          <w:szCs w:val="32"/>
        </w:rPr>
        <w:t xml:space="preserve">SECTION 3 — RENT</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3.1  Base Rent. Tenant shall pay Base Rent monthly, in advance, on the first day of each month, without demand, deduction, or offset, according to the following schedule:</w:t>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B5797" w:val="clear"/>
            <w:tcMar>
              <w:top w:type="dxa" w:w="60"/>
              <w:left w:type="dxa" w:w="120"/>
              <w:bottom w:type="dxa" w:w="60"/>
              <w:right w:type="dxa" w:w="120"/>
            </w:tcMar>
          </w:tcPr>
          <w:p>
            <w:pPr>
              <w:spacing w:after="0"/>
              <w:jc w:val="center"/>
            </w:pPr>
            <w:r>
              <w:rPr>
                <w:rFonts w:ascii="Times New Roman" w:cs="Times New Roman" w:eastAsia="Times New Roman" w:hAnsi="Times New Roman"/>
                <w:b/>
                <w:bCs/>
                <w:color w:val="FFFFFF"/>
                <w:sz w:val="20"/>
                <w:szCs w:val="20"/>
              </w:rPr>
              <w:t xml:space="preserve">Lease Year</w:t>
            </w:r>
          </w:p>
        </w:tc>
        <w:tc>
          <w:tcPr>
            <w:tcW w:type="dxa" w:w="2340"/>
            <w:tcBorders>
              <w:top w:val="single" w:color="AAAAAA" w:sz="1"/>
              <w:left w:val="single" w:color="AAAAAA" w:sz="1"/>
              <w:bottom w:val="single" w:color="AAAAAA" w:sz="1"/>
              <w:right w:val="single" w:color="AAAAAA" w:sz="1"/>
            </w:tcBorders>
            <w:shd w:fill="2B5797" w:val="clear"/>
            <w:tcMar>
              <w:top w:type="dxa" w:w="60"/>
              <w:left w:type="dxa" w:w="120"/>
              <w:bottom w:type="dxa" w:w="60"/>
              <w:right w:type="dxa" w:w="120"/>
            </w:tcMar>
          </w:tcPr>
          <w:p>
            <w:pPr>
              <w:spacing w:after="0"/>
              <w:jc w:val="center"/>
            </w:pPr>
            <w:r>
              <w:rPr>
                <w:rFonts w:ascii="Times New Roman" w:cs="Times New Roman" w:eastAsia="Times New Roman" w:hAnsi="Times New Roman"/>
                <w:b/>
                <w:bCs/>
                <w:color w:val="FFFFFF"/>
                <w:sz w:val="20"/>
                <w:szCs w:val="20"/>
              </w:rPr>
              <w:t xml:space="preserve">Monthly Base Rent</w:t>
            </w:r>
          </w:p>
        </w:tc>
        <w:tc>
          <w:tcPr>
            <w:tcW w:type="dxa" w:w="2340"/>
            <w:tcBorders>
              <w:top w:val="single" w:color="AAAAAA" w:sz="1"/>
              <w:left w:val="single" w:color="AAAAAA" w:sz="1"/>
              <w:bottom w:val="single" w:color="AAAAAA" w:sz="1"/>
              <w:right w:val="single" w:color="AAAAAA" w:sz="1"/>
            </w:tcBorders>
            <w:shd w:fill="2B5797" w:val="clear"/>
            <w:tcMar>
              <w:top w:type="dxa" w:w="60"/>
              <w:left w:type="dxa" w:w="120"/>
              <w:bottom w:type="dxa" w:w="60"/>
              <w:right w:type="dxa" w:w="120"/>
            </w:tcMar>
          </w:tcPr>
          <w:p>
            <w:pPr>
              <w:spacing w:after="0"/>
              <w:jc w:val="center"/>
            </w:pPr>
            <w:r>
              <w:rPr>
                <w:rFonts w:ascii="Times New Roman" w:cs="Times New Roman" w:eastAsia="Times New Roman" w:hAnsi="Times New Roman"/>
                <w:b/>
                <w:bCs/>
                <w:color w:val="FFFFFF"/>
                <w:sz w:val="20"/>
                <w:szCs w:val="20"/>
              </w:rPr>
              <w:t xml:space="preserve">Annual Rent/RSF</w:t>
            </w:r>
          </w:p>
        </w:tc>
        <w:tc>
          <w:tcPr>
            <w:tcW w:type="dxa" w:w="2340"/>
            <w:tcBorders>
              <w:top w:val="single" w:color="AAAAAA" w:sz="1"/>
              <w:left w:val="single" w:color="AAAAAA" w:sz="1"/>
              <w:bottom w:val="single" w:color="AAAAAA" w:sz="1"/>
              <w:right w:val="single" w:color="AAAAAA" w:sz="1"/>
            </w:tcBorders>
            <w:shd w:fill="2B5797" w:val="clear"/>
            <w:tcMar>
              <w:top w:type="dxa" w:w="60"/>
              <w:left w:type="dxa" w:w="120"/>
              <w:bottom w:type="dxa" w:w="60"/>
              <w:right w:type="dxa" w:w="120"/>
            </w:tcMar>
          </w:tcPr>
          <w:p>
            <w:pPr>
              <w:spacing w:after="0"/>
              <w:jc w:val="center"/>
            </w:pPr>
            <w:r>
              <w:rPr>
                <w:rFonts w:ascii="Times New Roman" w:cs="Times New Roman" w:eastAsia="Times New Roman" w:hAnsi="Times New Roman"/>
                <w:b/>
                <w:bCs/>
                <w:color w:val="FFFFFF"/>
                <w:sz w:val="20"/>
                <w:szCs w:val="20"/>
              </w:rPr>
              <w:t xml:space="preserve">Annual Base Rent</w:t>
            </w:r>
          </w:p>
        </w:tc>
      </w:tr>
      <w:tr>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jc w:val="left"/>
            </w:pPr>
            <w:r>
              <w:rPr>
                <w:rFonts w:ascii="Times New Roman" w:cs="Times New Roman" w:eastAsia="Times New Roman" w:hAnsi="Times New Roman"/>
                <w:sz w:val="22"/>
                <w:szCs w:val="22"/>
              </w:rPr>
              <w:t xml:space="preserve">Year 1 (May 2025 – Apr 2026)</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jc w:val="center"/>
            </w:pPr>
            <w:r>
              <w:rPr>
                <w:rFonts w:ascii="Times New Roman" w:cs="Times New Roman" w:eastAsia="Times New Roman" w:hAnsi="Times New Roman"/>
                <w:sz w:val="22"/>
                <w:szCs w:val="22"/>
              </w:rPr>
              <w:t xml:space="preserve">$37,500.00</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jc w:val="center"/>
            </w:pPr>
            <w:r>
              <w:rPr>
                <w:rFonts w:ascii="Times New Roman" w:cs="Times New Roman" w:eastAsia="Times New Roman" w:hAnsi="Times New Roman"/>
                <w:sz w:val="22"/>
                <w:szCs w:val="22"/>
              </w:rPr>
              <w:t xml:space="preserve">$30.00</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jc w:val="center"/>
            </w:pPr>
            <w:r>
              <w:rPr>
                <w:rFonts w:ascii="Times New Roman" w:cs="Times New Roman" w:eastAsia="Times New Roman" w:hAnsi="Times New Roman"/>
                <w:sz w:val="22"/>
                <w:szCs w:val="22"/>
              </w:rPr>
              <w:t xml:space="preserve">$450,000.00</w:t>
            </w:r>
          </w:p>
        </w:tc>
      </w:tr>
      <w:tr>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jc w:val="left"/>
            </w:pPr>
            <w:r>
              <w:rPr>
                <w:rFonts w:ascii="Times New Roman" w:cs="Times New Roman" w:eastAsia="Times New Roman" w:hAnsi="Times New Roman"/>
                <w:sz w:val="22"/>
                <w:szCs w:val="22"/>
              </w:rPr>
              <w:t xml:space="preserve">Year 2 (May 2026 – Apr 2027)</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jc w:val="center"/>
            </w:pPr>
            <w:r>
              <w:rPr>
                <w:rFonts w:ascii="Times New Roman" w:cs="Times New Roman" w:eastAsia="Times New Roman" w:hAnsi="Times New Roman"/>
                <w:sz w:val="22"/>
                <w:szCs w:val="22"/>
              </w:rPr>
              <w:t xml:space="preserve">$38,625.00</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jc w:val="center"/>
            </w:pPr>
            <w:r>
              <w:rPr>
                <w:rFonts w:ascii="Times New Roman" w:cs="Times New Roman" w:eastAsia="Times New Roman" w:hAnsi="Times New Roman"/>
                <w:sz w:val="22"/>
                <w:szCs w:val="22"/>
              </w:rPr>
              <w:t xml:space="preserve">$30.90</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jc w:val="center"/>
            </w:pPr>
            <w:r>
              <w:rPr>
                <w:rFonts w:ascii="Times New Roman" w:cs="Times New Roman" w:eastAsia="Times New Roman" w:hAnsi="Times New Roman"/>
                <w:sz w:val="22"/>
                <w:szCs w:val="22"/>
              </w:rPr>
              <w:t xml:space="preserve">$463,500.00</w:t>
            </w:r>
          </w:p>
        </w:tc>
      </w:tr>
      <w:tr>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jc w:val="left"/>
            </w:pPr>
            <w:r>
              <w:rPr>
                <w:rFonts w:ascii="Times New Roman" w:cs="Times New Roman" w:eastAsia="Times New Roman" w:hAnsi="Times New Roman"/>
                <w:sz w:val="22"/>
                <w:szCs w:val="22"/>
              </w:rPr>
              <w:t xml:space="preserve">Year 3 (May 2027 – Apr 2028)</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jc w:val="center"/>
            </w:pPr>
            <w:r>
              <w:rPr>
                <w:rFonts w:ascii="Times New Roman" w:cs="Times New Roman" w:eastAsia="Times New Roman" w:hAnsi="Times New Roman"/>
                <w:sz w:val="22"/>
                <w:szCs w:val="22"/>
              </w:rPr>
              <w:t xml:space="preserve">$39,783.75</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jc w:val="center"/>
            </w:pPr>
            <w:r>
              <w:rPr>
                <w:rFonts w:ascii="Times New Roman" w:cs="Times New Roman" w:eastAsia="Times New Roman" w:hAnsi="Times New Roman"/>
                <w:sz w:val="22"/>
                <w:szCs w:val="22"/>
              </w:rPr>
              <w:t xml:space="preserve">$31.83</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jc w:val="center"/>
            </w:pPr>
            <w:r>
              <w:rPr>
                <w:rFonts w:ascii="Times New Roman" w:cs="Times New Roman" w:eastAsia="Times New Roman" w:hAnsi="Times New Roman"/>
                <w:sz w:val="22"/>
                <w:szCs w:val="22"/>
              </w:rPr>
              <w:t xml:space="preserve">$477,405.00</w:t>
            </w:r>
          </w:p>
        </w:tc>
      </w:tr>
      <w:tr>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jc w:val="left"/>
            </w:pPr>
            <w:r>
              <w:rPr>
                <w:rFonts w:ascii="Times New Roman" w:cs="Times New Roman" w:eastAsia="Times New Roman" w:hAnsi="Times New Roman"/>
                <w:sz w:val="22"/>
                <w:szCs w:val="22"/>
              </w:rPr>
              <w:t xml:space="preserve">Year 4 (May 2028 – Apr 2029)</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jc w:val="center"/>
            </w:pPr>
            <w:r>
              <w:rPr>
                <w:rFonts w:ascii="Times New Roman" w:cs="Times New Roman" w:eastAsia="Times New Roman" w:hAnsi="Times New Roman"/>
                <w:sz w:val="22"/>
                <w:szCs w:val="22"/>
              </w:rPr>
              <w:t xml:space="preserve">$40,977.26</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jc w:val="center"/>
            </w:pPr>
            <w:r>
              <w:rPr>
                <w:rFonts w:ascii="Times New Roman" w:cs="Times New Roman" w:eastAsia="Times New Roman" w:hAnsi="Times New Roman"/>
                <w:sz w:val="22"/>
                <w:szCs w:val="22"/>
              </w:rPr>
              <w:t xml:space="preserve">$32.78</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jc w:val="center"/>
            </w:pPr>
            <w:r>
              <w:rPr>
                <w:rFonts w:ascii="Times New Roman" w:cs="Times New Roman" w:eastAsia="Times New Roman" w:hAnsi="Times New Roman"/>
                <w:sz w:val="22"/>
                <w:szCs w:val="22"/>
              </w:rPr>
              <w:t xml:space="preserve">$491,727.15</w:t>
            </w:r>
          </w:p>
        </w:tc>
      </w:tr>
      <w:tr>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jc w:val="left"/>
            </w:pPr>
            <w:r>
              <w:rPr>
                <w:rFonts w:ascii="Times New Roman" w:cs="Times New Roman" w:eastAsia="Times New Roman" w:hAnsi="Times New Roman"/>
                <w:sz w:val="22"/>
                <w:szCs w:val="22"/>
              </w:rPr>
              <w:t xml:space="preserve">Year 5 (May 2029 – Apr 2030)</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jc w:val="center"/>
            </w:pPr>
            <w:r>
              <w:rPr>
                <w:rFonts w:ascii="Times New Roman" w:cs="Times New Roman" w:eastAsia="Times New Roman" w:hAnsi="Times New Roman"/>
                <w:sz w:val="22"/>
                <w:szCs w:val="22"/>
              </w:rPr>
              <w:t xml:space="preserve">$42,206.58</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jc w:val="center"/>
            </w:pPr>
            <w:r>
              <w:rPr>
                <w:rFonts w:ascii="Times New Roman" w:cs="Times New Roman" w:eastAsia="Times New Roman" w:hAnsi="Times New Roman"/>
                <w:sz w:val="22"/>
                <w:szCs w:val="22"/>
              </w:rPr>
              <w:t xml:space="preserve">$33.77</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spacing w:after="0"/>
              <w:jc w:val="center"/>
            </w:pPr>
            <w:r>
              <w:rPr>
                <w:rFonts w:ascii="Times New Roman" w:cs="Times New Roman" w:eastAsia="Times New Roman" w:hAnsi="Times New Roman"/>
                <w:sz w:val="22"/>
                <w:szCs w:val="22"/>
              </w:rPr>
              <w:t xml:space="preserve">$506,478.96</w:t>
            </w:r>
          </w:p>
        </w:tc>
      </w:tr>
    </w:tbl>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200" w:before="0" w:line="276"/>
        <w:jc w:val="both"/>
      </w:pPr>
      <w:r>
        <w:rPr>
          <w:rFonts w:ascii="Times New Roman" w:cs="Times New Roman" w:eastAsia="Times New Roman" w:hAnsi="Times New Roman"/>
          <w:b w:val="false"/>
          <w:bCs w:val="false"/>
          <w:i w:val="false"/>
          <w:iCs w:val="false"/>
          <w:sz w:val="24"/>
          <w:szCs w:val="24"/>
        </w:rPr>
        <w:t xml:space="preserve">3.2  Rent Escalation. Base Rent shall increase by three percent (3.0%) on each anniversary of the Commencement Date.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3.3  Late Fee. Any payment not received within five (5) business days of the due date shall incur a late fee of four percent (4%) of the overdue amount.</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3.4  Payment Method. All rent shall be paid by electronic funds transfer to the account designated by Landlord.</w:t>
      </w:r>
    </w:p>
    <w:p>
      <w:pPr>
        <w:pStyle w:val="Heading1"/>
        <w:pageBreakBefore/>
        <w:spacing w:after="240" w:before="300" w:line="276"/>
        <w:jc w:val="center"/>
      </w:pPr>
      <w:r>
        <w:rPr>
          <w:rFonts w:ascii="Times New Roman" w:cs="Times New Roman" w:eastAsia="Times New Roman" w:hAnsi="Times New Roman"/>
          <w:b/>
          <w:bCs/>
          <w:i w:val="false"/>
          <w:iCs w:val="false"/>
          <w:sz w:val="32"/>
          <w:szCs w:val="32"/>
        </w:rPr>
        <w:t xml:space="preserve">SECTION 4 — OPERATING EXPENSES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4.1  Tenant's Share. Tenant shall pay 6.25% ("Tenant's Share") of Operating Expenses that exceed the Operating Expenses incurred during the Base Year (calendar year 2025).</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4.2  Operating Expenses Defined. Operating Expenses include all costs of operating, maintaining, repairing, and managing the Building, including property management fees (capped at 3% of gross revenues), insurance premiums, utility costs, janitorial services, security, landscaping, repairs, and maintenance. Operating Expenses do not include capital expenditures (except those required by law enacted after the Commencement Date, amortized over their useful life), leasing commissions, tenant improvement costs for other tenants, mortgage payments, or costs arising from Landlord's negligence.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4.3  Tax Expenses. Tenant shall also pay Tenant's Share of real property taxes and assessments ("Tax Expenses") that exceed the Tax Expenses incurred during the Base Year.</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4.4  Estimates and Reconciliation. Landlord shall provide an annual estimate, and Tenant shall pay one-twelfth (1/12) monthly. Within one hundred twenty (120) days after each calendar year end, Landlord shall provide a reconciliation statement. Overpayments shall be credited to Tenant; underpayments shall be due within thirty (30) days.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4.5  Cap on Controllable Expenses. Controllable Operating Expenses (all Operating Expenses except insurance, utilities, and Tax Expenses) shall not increase by more than five percent (5%) per year on a cumulative, compounding basis over the Base Year.</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4.6  Audit Right. Tenant may audit Landlord's Operating Expense records once per year, at Tenant's cost, within ninety (90) days of receiving the reconciliation statement. If the audit shows an overcharge exceeding five percent (5%), Landlord shall reimburse Tenant's audit costs.</w:t>
      </w:r>
    </w:p>
    <w:p>
      <w:pPr>
        <w:pStyle w:val="Heading1"/>
        <w:spacing w:after="240" w:before="300" w:line="276"/>
        <w:jc w:val="center"/>
      </w:pPr>
      <w:r>
        <w:rPr>
          <w:rFonts w:ascii="Times New Roman" w:cs="Times New Roman" w:eastAsia="Times New Roman" w:hAnsi="Times New Roman"/>
          <w:b/>
          <w:bCs/>
          <w:i w:val="false"/>
          <w:iCs w:val="false"/>
          <w:sz w:val="32"/>
          <w:szCs w:val="32"/>
        </w:rPr>
        <w:t xml:space="preserve">SECTION 5 — SECURITY DEPOSIT</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5.1  Tenant shall deliver a security deposit of $75,000.00 upon execution of this Lease.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5.2  Landlord may apply the security deposit to cure any default by Tenant. Tenant shall replenish any amount applied within ten (10) days of written notice.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5.3  The security deposit shall be returned to Tenant within sixty (60) days after the Lease expires and Tenant vacates, less any amounts applied for unpaid rent or damages.</w:t>
      </w:r>
    </w:p>
    <w:p>
      <w:pPr>
        <w:pStyle w:val="Heading1"/>
        <w:spacing w:after="240" w:before="300" w:line="276"/>
        <w:jc w:val="center"/>
      </w:pPr>
      <w:r>
        <w:rPr>
          <w:rFonts w:ascii="Times New Roman" w:cs="Times New Roman" w:eastAsia="Times New Roman" w:hAnsi="Times New Roman"/>
          <w:b/>
          <w:bCs/>
          <w:i w:val="false"/>
          <w:iCs w:val="false"/>
          <w:sz w:val="32"/>
          <w:szCs w:val="32"/>
        </w:rPr>
        <w:t xml:space="preserve">SECTION 6 — USE OF PREMISES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6.1  Tenant shall use the Premises only for general office use and software development, and for no other purpose without Landlord's written consent.</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6.2  Tenant shall comply with all applicable laws, codes, and regulations. Tenant shall not use the Premises in any manner that creates a nuisance, damages the Building, or increases Landlord's insurance costs.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6.3  Tenant shall comply with the Building Rules and Regulations attached as Exhibit C, as reasonably amended by Landlord from time to time.</w:t>
      </w:r>
    </w:p>
    <w:p>
      <w:pPr>
        <w:pStyle w:val="Heading1"/>
        <w:pageBreakBefore/>
        <w:spacing w:after="240" w:before="300" w:line="276"/>
        <w:jc w:val="center"/>
      </w:pPr>
      <w:r>
        <w:rPr>
          <w:rFonts w:ascii="Times New Roman" w:cs="Times New Roman" w:eastAsia="Times New Roman" w:hAnsi="Times New Roman"/>
          <w:b/>
          <w:bCs/>
          <w:i w:val="false"/>
          <w:iCs w:val="false"/>
          <w:sz w:val="32"/>
          <w:szCs w:val="32"/>
        </w:rPr>
        <w:t xml:space="preserve">SECTION 7 — MAINTENANCE AND REPAIRS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7.1  Landlord's Obligations. Landlord shall maintain the Building structure (roof, foundation, exterior walls), Building systems (HVAC, plumbing, electrical, elevators), and common areas in good condition.</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7.2  Tenant's Obligations. Tenant shall maintain the interior of the Premises in good condition, including interior walls, flooring, and any supplemental equipment installed by Tenant.</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7.3  If Landlord fails to make a required repair within thirty (30) days after written notice from Tenant, and the failure materially impairs Tenant's use of the Premises, Tenant may make the repair and deduct the reasonable cost from the next month's rent, up to a maximum of one month's Base Rent.</w:t>
      </w:r>
    </w:p>
    <w:p>
      <w:pPr>
        <w:pStyle w:val="Heading1"/>
        <w:spacing w:after="240" w:before="300" w:line="276"/>
        <w:jc w:val="center"/>
      </w:pPr>
      <w:r>
        <w:rPr>
          <w:rFonts w:ascii="Times New Roman" w:cs="Times New Roman" w:eastAsia="Times New Roman" w:hAnsi="Times New Roman"/>
          <w:b/>
          <w:bCs/>
          <w:i w:val="false"/>
          <w:iCs w:val="false"/>
          <w:sz w:val="32"/>
          <w:szCs w:val="32"/>
        </w:rPr>
        <w:t xml:space="preserve">SECTION 8 — ALTERATIONS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8.1  Tenant shall not make any alterations to the Premises without Landlord's prior written consent, which shall not be unreasonably withheld. Cosmetic changes costing less than $25,000 do not require consent but require prior written notice.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8.2  All alterations shall become Landlord's property upon installation and shall remain at Lease expiration, unless Landlord requires removal by written notice given at the time of consent.</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8.3  Tenant shall not permit any mechanic's liens. Any lien must be removed within twenty (20) days.</w:t>
      </w:r>
    </w:p>
    <w:p>
      <w:pPr>
        <w:pStyle w:val="Heading1"/>
        <w:spacing w:after="240" w:before="300" w:line="276"/>
        <w:jc w:val="center"/>
      </w:pPr>
      <w:r>
        <w:rPr>
          <w:rFonts w:ascii="Times New Roman" w:cs="Times New Roman" w:eastAsia="Times New Roman" w:hAnsi="Times New Roman"/>
          <w:b/>
          <w:bCs/>
          <w:i w:val="false"/>
          <w:iCs w:val="false"/>
          <w:sz w:val="32"/>
          <w:szCs w:val="32"/>
        </w:rPr>
        <w:t xml:space="preserve">SECTION 9 — ASSIGNMENT AND SUBLETTING</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9.1  Tenant shall not assign this Lease or sublet the Premises without Landlord's prior written consent, which shall not be unreasonably withheld.</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9.2  Tenant may assign or sublet to an affiliate or a successor by merger or acquisition without Landlord's consent, provided the assignee assumes all obligations and has a net worth equal to or greater than Tenant's at the time of transfer.</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9.3  If Landlord consents to an assignment or sublease, fifty percent (50%) of any profit (sublease rent exceeding Tenant's rent, after deducting reasonable transaction costs) shall be paid to Landlord.</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9.4  No assignment or subletting shall release Tenant from liability under this Lease.</w:t>
      </w:r>
    </w:p>
    <w:p>
      <w:pPr>
        <w:pStyle w:val="Heading1"/>
        <w:pageBreakBefore/>
        <w:spacing w:after="240" w:before="300" w:line="276"/>
        <w:jc w:val="center"/>
      </w:pPr>
      <w:r>
        <w:rPr>
          <w:rFonts w:ascii="Times New Roman" w:cs="Times New Roman" w:eastAsia="Times New Roman" w:hAnsi="Times New Roman"/>
          <w:b/>
          <w:bCs/>
          <w:i w:val="false"/>
          <w:iCs w:val="false"/>
          <w:sz w:val="32"/>
          <w:szCs w:val="32"/>
        </w:rPr>
        <w:t xml:space="preserve">SECTION 10 — INSURANCE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10.1  Tenant shall maintain: (a) Commercial General Liability insurance with limits of $2,000,000 per occurrence and $4,000,000 aggregate; (b) property insurance covering Tenant's personal property at full replacement cost; (c) Workers' Compensation insurance as required by law; and (d) Business Income insurance for twelve (12) months of rent obligations.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10.2  All policies shall name Landlord as additional insured, be issued by carriers rated A- VII or better by A.M. Best, and provide thirty (30) days' notice before cancellation.</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10.3  Landlord shall maintain property insurance on the Building and commercial general liability insurance for common areas. The cost is included in Operating Expenses.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10.4  Landlord and Tenant each waive rights of recovery against the other for property losses covered by insurance and shall obtain waiver of subrogation endorsements.</w:t>
      </w:r>
    </w:p>
    <w:p>
      <w:pPr>
        <w:pStyle w:val="Heading1"/>
        <w:spacing w:after="240" w:before="300" w:line="276"/>
        <w:jc w:val="center"/>
      </w:pPr>
      <w:r>
        <w:rPr>
          <w:rFonts w:ascii="Times New Roman" w:cs="Times New Roman" w:eastAsia="Times New Roman" w:hAnsi="Times New Roman"/>
          <w:b/>
          <w:bCs/>
          <w:i w:val="false"/>
          <w:iCs w:val="false"/>
          <w:sz w:val="32"/>
          <w:szCs w:val="32"/>
        </w:rPr>
        <w:t xml:space="preserve">SECTION 11 — INDEMNIFICATION</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11.1  Tenant shall indemnify and hold Landlord harmless from claims arising from Tenant's use of the Premises, Tenant's negligence, or Tenant's breach of this Lease, except to the extent caused by Landlord's negligence or willful misconduct.</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11.2  Landlord shall indemnify and hold Tenant harmless from claims arising from Landlord's negligence or willful misconduct in the common areas, or Landlord's breach of this Lease.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11.3  Landlord's liability under this Lease is limited to Landlord's interest in the Building. No personal liability shall attach to Landlord's members, officers, or agents.</w:t>
      </w:r>
    </w:p>
    <w:p>
      <w:pPr>
        <w:pStyle w:val="Heading1"/>
        <w:spacing w:after="240" w:before="300" w:line="276"/>
        <w:jc w:val="center"/>
      </w:pPr>
      <w:r>
        <w:rPr>
          <w:rFonts w:ascii="Times New Roman" w:cs="Times New Roman" w:eastAsia="Times New Roman" w:hAnsi="Times New Roman"/>
          <w:b/>
          <w:bCs/>
          <w:i w:val="false"/>
          <w:iCs w:val="false"/>
          <w:sz w:val="32"/>
          <w:szCs w:val="32"/>
        </w:rPr>
        <w:t xml:space="preserve">SECTION 12 — DAMAGE AND DESTRUCTION</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12.1  If the Premises are damaged by fire or casualty, Landlord shall notify Tenant within thirty (30) days with an estimated restoration timeline.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12.2  If restoration can be completed within one hundred eighty (180) days, Landlord shall restore the Premises and rent shall abate proportionally for the unusable area.</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12.3  Either party may terminate this Lease if: (a) restoration will take more than one hundred eighty (180) days; (b) the damage occurs in the last twelve (12) months of the Term; or (c) the damage is uninsured. Termination notice must be given within thirty (30) days of Landlord's restoration estimate.</w:t>
      </w:r>
    </w:p>
    <w:p>
      <w:pPr>
        <w:pStyle w:val="Heading1"/>
        <w:spacing w:after="240" w:before="300" w:line="276"/>
        <w:jc w:val="center"/>
      </w:pPr>
      <w:r>
        <w:rPr>
          <w:rFonts w:ascii="Times New Roman" w:cs="Times New Roman" w:eastAsia="Times New Roman" w:hAnsi="Times New Roman"/>
          <w:b/>
          <w:bCs/>
          <w:i w:val="false"/>
          <w:iCs w:val="false"/>
          <w:sz w:val="32"/>
          <w:szCs w:val="32"/>
        </w:rPr>
        <w:t xml:space="preserve">SECTION 13 — CONDEMNATION</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13.1  If the entire Premises or a substantial portion is taken by eminent domain, this Lease shall terminate as of the date of taking. Rent shall be prorated.</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13.2  All condemnation awards belong to Landlord, except Tenant may separately claim compensation for its trade fixtures, moving expenses, and leasehold improvements.</w:t>
      </w:r>
    </w:p>
    <w:p>
      <w:pPr>
        <w:pStyle w:val="Heading1"/>
        <w:pageBreakBefore/>
        <w:spacing w:after="240" w:before="300" w:line="276"/>
        <w:jc w:val="center"/>
      </w:pPr>
      <w:r>
        <w:rPr>
          <w:rFonts w:ascii="Times New Roman" w:cs="Times New Roman" w:eastAsia="Times New Roman" w:hAnsi="Times New Roman"/>
          <w:b/>
          <w:bCs/>
          <w:i w:val="false"/>
          <w:iCs w:val="false"/>
          <w:sz w:val="32"/>
          <w:szCs w:val="32"/>
        </w:rPr>
        <w:t xml:space="preserve">SECTION 14 — DEFAULT AND REMEDIES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14.1  Tenant Default. The following constitute defaults by Tenant: (a) failure to pay rent within five (5) business days after written notice; (b) failure to perform any other obligation within thirty (30) days after written notice (or, if not curable in 30 days, failure to commence cure and diligently pursue completion); (c) bankruptcy, insolvency, or assignment for benefit of creditors; or (d) abandonment of the Premises.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14.2  Landlord's Remedies. Upon Tenant default, Landlord may: (a) terminate this Lease and recover damages including lost rent (discounted to present value); (b) continue the Lease in effect and collect rent as it becomes due; or (c) perform any obligation on Tenant's behalf and recover costs as additional rent.</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14.3  Landlord Default. Landlord is in default if Landlord fails to perform any obligation within thirty (30) days after written notice from Tenant.</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14.4  Neither party shall be liable for consequential or punitive damages.</w:t>
      </w:r>
    </w:p>
    <w:p>
      <w:pPr>
        <w:pStyle w:val="Heading1"/>
        <w:spacing w:after="240" w:before="300" w:line="276"/>
        <w:jc w:val="center"/>
      </w:pPr>
      <w:r>
        <w:rPr>
          <w:rFonts w:ascii="Times New Roman" w:cs="Times New Roman" w:eastAsia="Times New Roman" w:hAnsi="Times New Roman"/>
          <w:b/>
          <w:bCs/>
          <w:i w:val="false"/>
          <w:iCs w:val="false"/>
          <w:sz w:val="32"/>
          <w:szCs w:val="32"/>
        </w:rPr>
        <w:t xml:space="preserve">SECTION 15 — SUBORDINATION AND ESTOPPEL</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15.1  This Lease is subordinate to any existing or future mortgage on the Building, provided the mortgagee delivers a non-disturbance agreement to Tenant in commercially reasonable form.</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15.2  Each party shall deliver an estoppel certificate within fifteen (15) business days of written request, confirming the Lease status, rent paid, defaults (if any), and other reasonable facts.</w:t>
      </w:r>
    </w:p>
    <w:p>
      <w:pPr>
        <w:pStyle w:val="Heading1"/>
        <w:spacing w:after="240" w:before="300" w:line="276"/>
        <w:jc w:val="center"/>
      </w:pPr>
      <w:r>
        <w:rPr>
          <w:rFonts w:ascii="Times New Roman" w:cs="Times New Roman" w:eastAsia="Times New Roman" w:hAnsi="Times New Roman"/>
          <w:b/>
          <w:bCs/>
          <w:i w:val="false"/>
          <w:iCs w:val="false"/>
          <w:sz w:val="32"/>
          <w:szCs w:val="32"/>
        </w:rPr>
        <w:t xml:space="preserve">SECTION 16 — BUILDING SERVICES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16.1  Landlord shall provide: (a) HVAC during business hours (8:00 AM to 6:00 PM, Monday through Friday); (b) elevator service; (c) electricity (minimum 5 watts per RSF); (d) water; (e) janitorial service on business days; and (f) 24/7 building access subject to security procedures.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16.2  After-hours HVAC is available at $50.00 per hour per zone, subject to reasonable annual increases.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16.3  If any essential service (HVAC, power, water, or elevators) is interrupted for more than five (5) consecutive business days due to Landlord's fault, Base Rent shall abate proportionally for the unusable portion until service is restored.</w:t>
      </w:r>
    </w:p>
    <w:p>
      <w:pPr>
        <w:pStyle w:val="Heading1"/>
        <w:pageBreakBefore/>
        <w:spacing w:after="240" w:before="300" w:line="276"/>
        <w:jc w:val="center"/>
      </w:pPr>
      <w:r>
        <w:rPr>
          <w:rFonts w:ascii="Times New Roman" w:cs="Times New Roman" w:eastAsia="Times New Roman" w:hAnsi="Times New Roman"/>
          <w:b/>
          <w:bCs/>
          <w:i w:val="false"/>
          <w:iCs w:val="false"/>
          <w:sz w:val="32"/>
          <w:szCs w:val="32"/>
        </w:rPr>
        <w:t xml:space="preserve">SECTION 17 — RENEWAL OPTION</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17.1  Tenant has one (1) option to renew the Lease for five (5) additional years (the "Renewal Term"), on the following conditions: (a) Tenant is not in default at the time of exercise or at the start of the Renewal Term; (b) Tenant delivers written notice to Landlord not less than nine (9) months and not more than twelve (12) months before the Expiration Date.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17.2  Base Rent during the Renewal Term shall be the Fair Market Rental Rate for comparable Class A office space in Chicago's Streeterville submarket, as determined by mutual agreement. If the parties cannot agree within sixty (60) days after Tenant's exercise notice, the Fair Market Rental Rate shall be determined by a single MAI appraiser mutually selected by the parties (or, if they cannot agree on an appraiser, each party shall select one appraiser and the two appraisers shall select a third, with the middle value of the three appraisals being the Fair Market Rental Rate).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17.3  All other terms during the Renewal Term shall remain the same, except that Tenant shall have no further renewal options and no additional Tenant Improvement Allowance (unless included as part of the Fair Market Rental Rate determination).</w:t>
      </w:r>
    </w:p>
    <w:p>
      <w:pPr>
        <w:pStyle w:val="Heading1"/>
        <w:spacing w:after="240" w:before="300" w:line="276"/>
        <w:jc w:val="center"/>
      </w:pPr>
      <w:r>
        <w:rPr>
          <w:rFonts w:ascii="Times New Roman" w:cs="Times New Roman" w:eastAsia="Times New Roman" w:hAnsi="Times New Roman"/>
          <w:b/>
          <w:bCs/>
          <w:i w:val="false"/>
          <w:iCs w:val="false"/>
          <w:sz w:val="32"/>
          <w:szCs w:val="32"/>
        </w:rPr>
        <w:t xml:space="preserve">SECTION 18 — HOLDOVER</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18.1  If Tenant remains in the Premises after the Expiration Date without Landlord's consent, Tenant shall pay holdover rent equal to one hundred fifty percent (150%) of the last month's Base Rent, plus all Additional Rent. Holdover does not create a new lease term.</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18.2  Tenant shall indemnify Landlord for all damages caused by holdover, including claims from succeeding tenants.</w:t>
      </w:r>
    </w:p>
    <w:p>
      <w:pPr>
        <w:pStyle w:val="Heading1"/>
        <w:spacing w:after="240" w:before="300" w:line="276"/>
        <w:jc w:val="center"/>
      </w:pPr>
      <w:r>
        <w:rPr>
          <w:rFonts w:ascii="Times New Roman" w:cs="Times New Roman" w:eastAsia="Times New Roman" w:hAnsi="Times New Roman"/>
          <w:b/>
          <w:bCs/>
          <w:i w:val="false"/>
          <w:iCs w:val="false"/>
          <w:sz w:val="32"/>
          <w:szCs w:val="32"/>
        </w:rPr>
        <w:t xml:space="preserve">SECTION 19 — SURRENDER</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19.1  Upon expiration or termination, Tenant shall surrender the Premises in good condition (reasonable wear and tear excepted), broom clean, with all personal property removed. Tenant shall repair any damage caused by removal.</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19.2  Property not removed within ten (10) days shall be deemed abandoned.</w:t>
      </w:r>
    </w:p>
    <w:p>
      <w:pPr>
        <w:pStyle w:val="Heading1"/>
        <w:spacing w:after="240" w:before="300" w:line="276"/>
        <w:jc w:val="center"/>
      </w:pPr>
      <w:r>
        <w:rPr>
          <w:rFonts w:ascii="Times New Roman" w:cs="Times New Roman" w:eastAsia="Times New Roman" w:hAnsi="Times New Roman"/>
          <w:b/>
          <w:bCs/>
          <w:i w:val="false"/>
          <w:iCs w:val="false"/>
          <w:sz w:val="32"/>
          <w:szCs w:val="32"/>
        </w:rPr>
        <w:t xml:space="preserve">SECTION 20 — GENERAL PROVISIONS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20.1  Entire Agreement. This Lease and its exhibits constitute the entire agreement between the parties. No modification is effective unless in writing signed by both parties.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20.2  Governing Law. This Lease shall be governed by the laws of the State of Illinois.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20.3  Severability. If any provision is unenforceable, the remaining provisions shall continue in effect.</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20.4  Notices. All notices shall be in writing and delivered by hand, overnight courier, or certified mail to the addresses in the Basic Lease Information. Notices are effective upon delivery (hand or courier) or three (3) business days after mailing.</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20.5  Force Majeure. Neither party is liable for delays caused by events beyond its control (fire, flood, strikes, government action, pandemic). Tenant's rent obligation is not excused by force majeure.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20.6  Brokers. Each party represents it has dealt only with the brokers listed in the Basic Lease Information. Landlord shall pay all broker commissions.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20.7  Attorneys' Fees. The prevailing party in any legal action shall recover reasonable attorneys' fees from the other party.</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20.8  Quiet Enjoyment. So long as Tenant is not in default, Tenant shall peaceably enjoy the Premises without interference from Landlord.</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20.9  Hazardous Materials. Tenant shall not bring hazardous materials onto the Premises except for ordinary office supplies used in compliance with law. Tenant shall indemnify Landlord for any contamination caused by Tenant.</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20.10  Signage. Tenant shall receive Building-standard suite signage and one listing on the lobby directory, at Tenant's cost, subject to Landlord's approval.</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20.11  Landlord's Access. Landlord may enter the Premises upon twenty-four (24) hours' notice for inspection, maintenance, or showing to prospective tenants (last 12 months). No notice is required for emergencies.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20.12  Counterparts. This Lease may be executed in counterparts, each of which is an original. Electronic signatures are valid.</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20.13  Confidentiality. The terms of this Lease are confidential, except as required by law, regulation, or SEC disclosure obligations.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20.14  Time of Essence. Time is of the essence for all provisions of this Lease.</w:t>
      </w:r>
    </w:p>
    <w:p>
      <w:r>
        <w:br w:type="page"/>
      </w:r>
    </w:p>
    <w:p>
      <w:pPr>
        <w:spacing w:after="300" w:before="0" w:line="276"/>
        <w:jc w:val="both"/>
      </w:pPr>
      <w:r>
        <w:rPr>
          <w:rFonts w:ascii="Times New Roman" w:cs="Times New Roman" w:eastAsia="Times New Roman" w:hAnsi="Times New Roman"/>
          <w:b w:val="false"/>
          <w:bCs w:val="false"/>
          <w:i w:val="false"/>
          <w:iCs w:val="false"/>
          <w:sz w:val="24"/>
          <w:szCs w:val="24"/>
        </w:rPr>
        <w:t xml:space="preserve">IN WITNESS WHEREOF, the parties have executed this Commercial Lease Agreement as of the date first written above.</w:t>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100" w:before="0" w:line="276"/>
        <w:jc w:val="both"/>
      </w:pPr>
      <w:r>
        <w:rPr>
          <w:rFonts w:ascii="Times New Roman" w:cs="Times New Roman" w:eastAsia="Times New Roman" w:hAnsi="Times New Roman"/>
          <w:b/>
          <w:bCs/>
          <w:i w:val="false"/>
          <w:iCs w:val="false"/>
          <w:sz w:val="24"/>
          <w:szCs w:val="24"/>
        </w:rPr>
        <w:t xml:space="preserve">LANDLORD: BROOKFIELD COMMERCIAL PROPERTIES, LLC:</w:t>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0"/>
      </w:pPr>
      <w:r>
        <w:rPr>
          <w:rFonts w:ascii="Times New Roman" w:cs="Times New Roman" w:eastAsia="Times New Roman" w:hAnsi="Times New Roman"/>
          <w:sz w:val="24"/>
          <w:szCs w:val="24"/>
        </w:rPr>
        <w:t xml:space="preserve">________________________________________</w:t>
      </w:r>
    </w:p>
    <w:p>
      <w:pPr>
        <w:spacing w:after="80" w:before="0" w:line="276"/>
        <w:jc w:val="both"/>
      </w:pPr>
      <w:r>
        <w:rPr>
          <w:rFonts w:ascii="Times New Roman" w:cs="Times New Roman" w:eastAsia="Times New Roman" w:hAnsi="Times New Roman"/>
          <w:b w:val="false"/>
          <w:bCs w:val="false"/>
          <w:i w:val="false"/>
          <w:iCs w:val="false"/>
          <w:sz w:val="20"/>
          <w:szCs w:val="20"/>
        </w:rPr>
        <w:t xml:space="preserve">Signature</w:t>
      </w:r>
    </w:p>
    <w:p>
      <w:pPr>
        <w:spacing w:after="80" w:before="0" w:line="276"/>
        <w:jc w:val="both"/>
      </w:pPr>
      <w:r>
        <w:rPr>
          <w:rFonts w:ascii="Times New Roman" w:cs="Times New Roman" w:eastAsia="Times New Roman" w:hAnsi="Times New Roman"/>
          <w:b w:val="false"/>
          <w:bCs w:val="false"/>
          <w:i w:val="false"/>
          <w:iCs w:val="false"/>
          <w:sz w:val="24"/>
          <w:szCs w:val="24"/>
        </w:rPr>
        <w:t xml:space="preserve">Name: ________________________________________</w:t>
      </w:r>
    </w:p>
    <w:p>
      <w:pPr>
        <w:spacing w:after="80" w:before="0" w:line="276"/>
        <w:jc w:val="both"/>
      </w:pPr>
      <w:r>
        <w:rPr>
          <w:rFonts w:ascii="Times New Roman" w:cs="Times New Roman" w:eastAsia="Times New Roman" w:hAnsi="Times New Roman"/>
          <w:b w:val="false"/>
          <w:bCs w:val="false"/>
          <w:i w:val="false"/>
          <w:iCs w:val="false"/>
          <w:sz w:val="24"/>
          <w:szCs w:val="24"/>
        </w:rPr>
        <w:t xml:space="preserve">Title:  ________________________________________</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Date:  ________________________________________</w:t>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100" w:before="0" w:line="276"/>
        <w:jc w:val="both"/>
      </w:pPr>
      <w:r>
        <w:rPr>
          <w:rFonts w:ascii="Times New Roman" w:cs="Times New Roman" w:eastAsia="Times New Roman" w:hAnsi="Times New Roman"/>
          <w:b/>
          <w:bCs/>
          <w:i w:val="false"/>
          <w:iCs w:val="false"/>
          <w:sz w:val="24"/>
          <w:szCs w:val="24"/>
        </w:rPr>
        <w:t xml:space="preserve">TENANT: CLEARPATH ANALYTICS, INC.:</w:t>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0"/>
      </w:pPr>
      <w:r>
        <w:rPr>
          <w:rFonts w:ascii="Times New Roman" w:cs="Times New Roman" w:eastAsia="Times New Roman" w:hAnsi="Times New Roman"/>
          <w:sz w:val="24"/>
          <w:szCs w:val="24"/>
        </w:rPr>
        <w:t xml:space="preserve">________________________________________</w:t>
      </w:r>
    </w:p>
    <w:p>
      <w:pPr>
        <w:spacing w:after="80" w:before="0" w:line="276"/>
        <w:jc w:val="both"/>
      </w:pPr>
      <w:r>
        <w:rPr>
          <w:rFonts w:ascii="Times New Roman" w:cs="Times New Roman" w:eastAsia="Times New Roman" w:hAnsi="Times New Roman"/>
          <w:b w:val="false"/>
          <w:bCs w:val="false"/>
          <w:i w:val="false"/>
          <w:iCs w:val="false"/>
          <w:sz w:val="20"/>
          <w:szCs w:val="20"/>
        </w:rPr>
        <w:t xml:space="preserve">Signature</w:t>
      </w:r>
    </w:p>
    <w:p>
      <w:pPr>
        <w:spacing w:after="80" w:before="0" w:line="276"/>
        <w:jc w:val="both"/>
      </w:pPr>
      <w:r>
        <w:rPr>
          <w:rFonts w:ascii="Times New Roman" w:cs="Times New Roman" w:eastAsia="Times New Roman" w:hAnsi="Times New Roman"/>
          <w:b w:val="false"/>
          <w:bCs w:val="false"/>
          <w:i w:val="false"/>
          <w:iCs w:val="false"/>
          <w:sz w:val="24"/>
          <w:szCs w:val="24"/>
        </w:rPr>
        <w:t xml:space="preserve">Name: ________________________________________</w:t>
      </w:r>
    </w:p>
    <w:p>
      <w:pPr>
        <w:spacing w:after="80" w:before="0" w:line="276"/>
        <w:jc w:val="both"/>
      </w:pPr>
      <w:r>
        <w:rPr>
          <w:rFonts w:ascii="Times New Roman" w:cs="Times New Roman" w:eastAsia="Times New Roman" w:hAnsi="Times New Roman"/>
          <w:b w:val="false"/>
          <w:bCs w:val="false"/>
          <w:i w:val="false"/>
          <w:iCs w:val="false"/>
          <w:sz w:val="24"/>
          <w:szCs w:val="24"/>
        </w:rPr>
        <w:t xml:space="preserve">Title:  ________________________________________</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Date:  ________________________________________</w:t>
      </w:r>
    </w:p>
    <w:p>
      <w:r>
        <w:br w:type="page"/>
      </w:r>
    </w:p>
    <w:p>
      <w:pPr>
        <w:pStyle w:val="Heading1"/>
        <w:spacing w:after="240" w:before="300" w:line="276"/>
        <w:jc w:val="center"/>
      </w:pPr>
      <w:r>
        <w:rPr>
          <w:rFonts w:ascii="Times New Roman" w:cs="Times New Roman" w:eastAsia="Times New Roman" w:hAnsi="Times New Roman"/>
          <w:b/>
          <w:bCs/>
          <w:i w:val="false"/>
          <w:iCs w:val="false"/>
          <w:sz w:val="32"/>
          <w:szCs w:val="32"/>
        </w:rPr>
        <w:t xml:space="preserve">EXHIBIT A — FLOOR PLAN</w:t>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200" w:before="0" w:line="276"/>
        <w:jc w:val="both"/>
      </w:pPr>
      <w:r>
        <w:rPr>
          <w:rFonts w:ascii="Times New Roman" w:cs="Times New Roman" w:eastAsia="Times New Roman" w:hAnsi="Times New Roman"/>
          <w:b w:val="false"/>
          <w:bCs w:val="false"/>
          <w:i w:val="false"/>
          <w:iCs w:val="false"/>
          <w:sz w:val="24"/>
          <w:szCs w:val="24"/>
        </w:rPr>
        <w:t xml:space="preserve">Suite 500, 5th Floor, Lakeshore Center, 800 Lakeshore Drive, Chicago, IL 60611</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Rentable Area: 15,000 square feet</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Usable Area: 12,750 square feet</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Load Factor: 17.65%</w:t>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200" w:before="0" w:line="276"/>
        <w:jc w:val="center"/>
      </w:pPr>
      <w:r>
        <w:rPr>
          <w:rFonts w:ascii="Times New Roman" w:cs="Times New Roman" w:eastAsia="Times New Roman" w:hAnsi="Times New Roman"/>
          <w:b w:val="false"/>
          <w:bCs w:val="false"/>
          <w:i/>
          <w:iCs/>
          <w:sz w:val="24"/>
          <w:szCs w:val="24"/>
        </w:rPr>
        <w:t xml:space="preserve">[Floor plan to be attached]</w:t>
      </w:r>
    </w:p>
    <w:p>
      <w:r>
        <w:br w:type="page"/>
      </w:r>
    </w:p>
    <w:p>
      <w:pPr>
        <w:pStyle w:val="Heading1"/>
        <w:spacing w:after="240" w:before="300" w:line="276"/>
        <w:jc w:val="center"/>
      </w:pPr>
      <w:r>
        <w:rPr>
          <w:rFonts w:ascii="Times New Roman" w:cs="Times New Roman" w:eastAsia="Times New Roman" w:hAnsi="Times New Roman"/>
          <w:b/>
          <w:bCs/>
          <w:i w:val="false"/>
          <w:iCs w:val="false"/>
          <w:sz w:val="32"/>
          <w:szCs w:val="32"/>
        </w:rPr>
        <w:t xml:space="preserve">EXHIBIT B — COMMENCEMENT DATE CONFIRMATION</w:t>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200" w:before="0" w:line="276"/>
        <w:jc w:val="both"/>
      </w:pPr>
      <w:r>
        <w:rPr>
          <w:rFonts w:ascii="Times New Roman" w:cs="Times New Roman" w:eastAsia="Times New Roman" w:hAnsi="Times New Roman"/>
          <w:b w:val="false"/>
          <w:bCs w:val="false"/>
          <w:i w:val="false"/>
          <w:iCs w:val="false"/>
          <w:sz w:val="24"/>
          <w:szCs w:val="24"/>
        </w:rPr>
        <w:t xml:space="preserve">Landlord and Tenant confirm:</w:t>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200" w:before="0" w:line="276"/>
        <w:jc w:val="both"/>
      </w:pPr>
      <w:r>
        <w:rPr>
          <w:rFonts w:ascii="Times New Roman" w:cs="Times New Roman" w:eastAsia="Times New Roman" w:hAnsi="Times New Roman"/>
          <w:b w:val="false"/>
          <w:bCs w:val="false"/>
          <w:i w:val="false"/>
          <w:iCs w:val="false"/>
          <w:sz w:val="24"/>
          <w:szCs w:val="24"/>
        </w:rPr>
        <w:t xml:space="preserve">Commencement Date: ___________________</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Expiration Date: ___________________</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Rentable Square Feet: ___________________</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First Month's Base Rent: $___________________</w:t>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200" w:before="0" w:line="276"/>
        <w:jc w:val="both"/>
      </w:pPr>
      <w:r>
        <w:rPr>
          <w:rFonts w:ascii="Times New Roman" w:cs="Times New Roman" w:eastAsia="Times New Roman" w:hAnsi="Times New Roman"/>
          <w:b w:val="false"/>
          <w:bCs w:val="false"/>
          <w:i w:val="false"/>
          <w:iCs w:val="false"/>
          <w:sz w:val="24"/>
          <w:szCs w:val="24"/>
        </w:rPr>
        <w:t xml:space="preserve">All other terms remain unchanged.</w:t>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100" w:before="0" w:line="276"/>
        <w:jc w:val="both"/>
      </w:pPr>
      <w:r>
        <w:rPr>
          <w:rFonts w:ascii="Times New Roman" w:cs="Times New Roman" w:eastAsia="Times New Roman" w:hAnsi="Times New Roman"/>
          <w:b/>
          <w:bCs/>
          <w:i w:val="false"/>
          <w:iCs w:val="false"/>
          <w:sz w:val="24"/>
          <w:szCs w:val="24"/>
        </w:rPr>
        <w:t xml:space="preserve">LANDLORD:</w:t>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0"/>
      </w:pPr>
      <w:r>
        <w:rPr>
          <w:rFonts w:ascii="Times New Roman" w:cs="Times New Roman" w:eastAsia="Times New Roman" w:hAnsi="Times New Roman"/>
          <w:sz w:val="24"/>
          <w:szCs w:val="24"/>
        </w:rPr>
        <w:t xml:space="preserve">________________________________________</w:t>
      </w:r>
    </w:p>
    <w:p>
      <w:pPr>
        <w:spacing w:after="80" w:before="0" w:line="276"/>
        <w:jc w:val="both"/>
      </w:pPr>
      <w:r>
        <w:rPr>
          <w:rFonts w:ascii="Times New Roman" w:cs="Times New Roman" w:eastAsia="Times New Roman" w:hAnsi="Times New Roman"/>
          <w:b w:val="false"/>
          <w:bCs w:val="false"/>
          <w:i w:val="false"/>
          <w:iCs w:val="false"/>
          <w:sz w:val="20"/>
          <w:szCs w:val="20"/>
        </w:rPr>
        <w:t xml:space="preserve">Signature</w:t>
      </w:r>
    </w:p>
    <w:p>
      <w:pPr>
        <w:spacing w:after="80" w:before="0" w:line="276"/>
        <w:jc w:val="both"/>
      </w:pPr>
      <w:r>
        <w:rPr>
          <w:rFonts w:ascii="Times New Roman" w:cs="Times New Roman" w:eastAsia="Times New Roman" w:hAnsi="Times New Roman"/>
          <w:b w:val="false"/>
          <w:bCs w:val="false"/>
          <w:i w:val="false"/>
          <w:iCs w:val="false"/>
          <w:sz w:val="24"/>
          <w:szCs w:val="24"/>
        </w:rPr>
        <w:t xml:space="preserve">Name: ________________________________________</w:t>
      </w:r>
    </w:p>
    <w:p>
      <w:pPr>
        <w:spacing w:after="80" w:before="0" w:line="276"/>
        <w:jc w:val="both"/>
      </w:pPr>
      <w:r>
        <w:rPr>
          <w:rFonts w:ascii="Times New Roman" w:cs="Times New Roman" w:eastAsia="Times New Roman" w:hAnsi="Times New Roman"/>
          <w:b w:val="false"/>
          <w:bCs w:val="false"/>
          <w:i w:val="false"/>
          <w:iCs w:val="false"/>
          <w:sz w:val="24"/>
          <w:szCs w:val="24"/>
        </w:rPr>
        <w:t xml:space="preserve">Title:  ________________________________________</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Date:  ________________________________________</w:t>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100" w:before="0" w:line="276"/>
        <w:jc w:val="both"/>
      </w:pPr>
      <w:r>
        <w:rPr>
          <w:rFonts w:ascii="Times New Roman" w:cs="Times New Roman" w:eastAsia="Times New Roman" w:hAnsi="Times New Roman"/>
          <w:b/>
          <w:bCs/>
          <w:i w:val="false"/>
          <w:iCs w:val="false"/>
          <w:sz w:val="24"/>
          <w:szCs w:val="24"/>
        </w:rPr>
        <w:t xml:space="preserve">TENANT:</w:t>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0"/>
      </w:pPr>
      <w:r>
        <w:rPr>
          <w:rFonts w:ascii="Times New Roman" w:cs="Times New Roman" w:eastAsia="Times New Roman" w:hAnsi="Times New Roman"/>
          <w:sz w:val="24"/>
          <w:szCs w:val="24"/>
        </w:rPr>
        <w:t xml:space="preserve">________________________________________</w:t>
      </w:r>
    </w:p>
    <w:p>
      <w:pPr>
        <w:spacing w:after="80" w:before="0" w:line="276"/>
        <w:jc w:val="both"/>
      </w:pPr>
      <w:r>
        <w:rPr>
          <w:rFonts w:ascii="Times New Roman" w:cs="Times New Roman" w:eastAsia="Times New Roman" w:hAnsi="Times New Roman"/>
          <w:b w:val="false"/>
          <w:bCs w:val="false"/>
          <w:i w:val="false"/>
          <w:iCs w:val="false"/>
          <w:sz w:val="20"/>
          <w:szCs w:val="20"/>
        </w:rPr>
        <w:t xml:space="preserve">Signature</w:t>
      </w:r>
    </w:p>
    <w:p>
      <w:pPr>
        <w:spacing w:after="80" w:before="0" w:line="276"/>
        <w:jc w:val="both"/>
      </w:pPr>
      <w:r>
        <w:rPr>
          <w:rFonts w:ascii="Times New Roman" w:cs="Times New Roman" w:eastAsia="Times New Roman" w:hAnsi="Times New Roman"/>
          <w:b w:val="false"/>
          <w:bCs w:val="false"/>
          <w:i w:val="false"/>
          <w:iCs w:val="false"/>
          <w:sz w:val="24"/>
          <w:szCs w:val="24"/>
        </w:rPr>
        <w:t xml:space="preserve">Name: ________________________________________</w:t>
      </w:r>
    </w:p>
    <w:p>
      <w:pPr>
        <w:spacing w:after="80" w:before="0" w:line="276"/>
        <w:jc w:val="both"/>
      </w:pPr>
      <w:r>
        <w:rPr>
          <w:rFonts w:ascii="Times New Roman" w:cs="Times New Roman" w:eastAsia="Times New Roman" w:hAnsi="Times New Roman"/>
          <w:b w:val="false"/>
          <w:bCs w:val="false"/>
          <w:i w:val="false"/>
          <w:iCs w:val="false"/>
          <w:sz w:val="24"/>
          <w:szCs w:val="24"/>
        </w:rPr>
        <w:t xml:space="preserve">Title:  ________________________________________</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Date:  ________________________________________</w:t>
      </w:r>
    </w:p>
    <w:p>
      <w:r>
        <w:br w:type="page"/>
      </w:r>
    </w:p>
    <w:p>
      <w:pPr>
        <w:pStyle w:val="Heading1"/>
        <w:spacing w:after="240" w:before="300" w:line="276"/>
        <w:jc w:val="center"/>
      </w:pPr>
      <w:r>
        <w:rPr>
          <w:rFonts w:ascii="Times New Roman" w:cs="Times New Roman" w:eastAsia="Times New Roman" w:hAnsi="Times New Roman"/>
          <w:b/>
          <w:bCs/>
          <w:i w:val="false"/>
          <w:iCs w:val="false"/>
          <w:sz w:val="32"/>
          <w:szCs w:val="32"/>
        </w:rPr>
        <w:t xml:space="preserve">EXHIBIT C — BUILDING RULES AND REGULATIONS</w:t>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200" w:before="0" w:line="276"/>
        <w:jc w:val="both"/>
      </w:pPr>
      <w:r>
        <w:rPr>
          <w:rFonts w:ascii="Times New Roman" w:cs="Times New Roman" w:eastAsia="Times New Roman" w:hAnsi="Times New Roman"/>
          <w:b w:val="false"/>
          <w:bCs w:val="false"/>
          <w:i w:val="false"/>
          <w:iCs w:val="false"/>
          <w:sz w:val="24"/>
          <w:szCs w:val="24"/>
        </w:rPr>
        <w:t xml:space="preserve">1. Common areas shall not be obstructed or used for storage.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2. No locks shall be changed without Landlord's consent.</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3. Furniture and equipment moves must be coordinated with Building management.</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4. No flammable or hazardous materials shall be stored in the Premises beyond normal office supplies.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5. Kitchen facilities may include refrigerator, microwave, and coffee maker.</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6. Tenant shall not create unreasonable noise or odors.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7. Tenant shall comply with Building security procedures.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8. No animals except service animals.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9. Landlord may amend these rules with thirty (30) days' written notice.</w:t>
      </w:r>
    </w:p>
    <w:p>
      <w:r>
        <w:br w:type="page"/>
      </w:r>
    </w:p>
    <w:p>
      <w:pPr>
        <w:pStyle w:val="Heading1"/>
        <w:spacing w:after="240" w:before="300" w:line="276"/>
        <w:jc w:val="center"/>
      </w:pPr>
      <w:r>
        <w:rPr>
          <w:rFonts w:ascii="Times New Roman" w:cs="Times New Roman" w:eastAsia="Times New Roman" w:hAnsi="Times New Roman"/>
          <w:b/>
          <w:bCs/>
          <w:i w:val="false"/>
          <w:iCs w:val="false"/>
          <w:sz w:val="32"/>
          <w:szCs w:val="32"/>
        </w:rPr>
        <w:t xml:space="preserve">EXHIBIT D — WORK LETTER</w:t>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200" w:before="0" w:line="276"/>
        <w:jc w:val="both"/>
      </w:pPr>
      <w:r>
        <w:rPr>
          <w:rFonts w:ascii="Times New Roman" w:cs="Times New Roman" w:eastAsia="Times New Roman" w:hAnsi="Times New Roman"/>
          <w:b w:val="false"/>
          <w:bCs w:val="false"/>
          <w:i w:val="false"/>
          <w:iCs w:val="false"/>
          <w:sz w:val="24"/>
          <w:szCs w:val="24"/>
        </w:rPr>
        <w:t xml:space="preserve">1. Tenant Improvement Allowance. Landlord shall provide $600,000.00 ($40.00 per RSF) toward Tenant's build-out of the Premises. The allowance covers architectural fees, construction, permits, cabling, and project management.</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2. Excess Costs. Costs exceeding the allowance are Tenant's responsibility, payable within thirty (30) days of invoice.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3. Plans. Tenant shall submit plans to Landlord within forty-five (45) days of Lease execution. Landlord shall approve or provide comments within ten (10) business days.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4. Construction. Tenant shall use a contractor approved by Landlord. All work must comply with applicable codes and Building standards.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5. Disbursement. The allowance shall be paid within thirty (30) days after completion of improvements, delivery of lien waivers, and receipt of a certificate of occupancy.</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6. Unused Allowance. Any unused portion of the allowance after twelve (12) months from the Commencement Date shall be forfeited.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before="0" w:after="0"/>
    </w:pPr>
    <w:r>
      <w:rPr>
        <w:rFonts w:ascii="Times New Roman" w:cs="Times New Roman" w:eastAsia="Times New Roman" w:hAnsi="Times New Roman"/>
        <w:color w:val="999999"/>
        <w:sz w:val="20"/>
        <w:szCs w:val="20"/>
      </w:rPr>
      <w:t xml:space="preserve">CONFIDENTIAL</w:t>
    </w:r>
    <w:r>
      <w:rPr>
        <w:rFonts w:ascii="Times New Roman" w:cs="Times New Roman" w:eastAsia="Times New Roman" w:hAnsi="Times New Roman"/>
        <w:color w:val="999999"/>
        <w:sz w:val="20"/>
        <w:szCs w:val="20"/>
      </w:rPr>
      <w:t xml:space="preserve">	Page </w:t>
    </w:r>
    <w:r>
      <w:rPr>
        <w:rFonts w:ascii="Times New Roman" w:cs="Times New Roman" w:eastAsia="Times New Roman" w:hAnsi="Times New Roman"/>
        <w:color w:val="99999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Times New Roman" w:eastAsia="Times New Roman" w:hAnsi="Times New Roman"/>
        <w:i/>
        <w:iCs/>
        <w:color w:val="666666"/>
        <w:sz w:val="20"/>
        <w:szCs w:val="20"/>
      </w:rPr>
      <w:t xml:space="preserve">Commercial Lease Agreement — Brookfield Commercial Properties / ClearPath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40" w:after="20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2026-03-06T17:52:48.714Z</dcterms:created>
  <dcterms:modified xsi:type="dcterms:W3CDTF">2026-03-06T17:52:48.716Z</dcterms:modified>
</cp:coreProperties>
</file>

<file path=docProps/custom.xml><?xml version="1.0" encoding="utf-8"?>
<Properties xmlns="http://schemas.openxmlformats.org/officeDocument/2006/custom-properties" xmlns:vt="http://schemas.openxmlformats.org/officeDocument/2006/docPropsVTypes"/>
</file>