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YOLO11s and GYU-DET Model Documentation</w:t>
      </w:r>
    </w:p>
    <w:p>
      <w:pPr>
        <w:jc w:val="center"/>
      </w:pPr>
      <w:r>
        <w:rPr>
          <w:color w:val="144160"/>
          <w:sz w:val="26"/>
        </w:rPr>
        <w:t>Detector role, dataset usage, deployment behavior, and maintenance notes</w:t>
      </w:r>
    </w:p>
    <w:p>
      <w:pPr>
        <w:spacing w:after="100" w:line="250" w:lineRule="auto"/>
      </w:pPr>
      <w:r>
        <w:t>This document describes the YOLO11s detector configuration and the GYU-DET dataset role within the infrastructure defect detection application. The detector is one component in a larger robotic inspection workflow: OAK-D imagery enters the model, detections are published into ROS, depth fusion converts them into 3D observations, and the digital-twin nodes persist the observations as AI markers and rescan goals.</w:t>
      </w:r>
    </w:p>
    <w:p>
      <w:pPr>
        <w:pStyle w:val="Heading2"/>
      </w:pPr>
      <w:r>
        <w:t>Detector Role in the Application</w:t>
      </w:r>
    </w:p>
    <w:p>
      <w:pPr>
        <w:spacing w:after="100" w:line="250" w:lineRule="auto"/>
      </w:pPr>
      <w:r>
        <w:t>The YOLO11s model runs as the primary image-based defect detector. It subscribes to the configured RGB image topic, performs inference on each frame, and publishes 2D detections for downstream processing. The detector does not directly command Spot or the Trimble X7. Instead, its output becomes evidence used by scan gating, 3D projection, visualization, and digital-twin marker persistence.</w:t>
      </w:r>
    </w:p>
    <w:p>
      <w:pPr>
        <w:pStyle w:val="ListBullet"/>
        <w:spacing w:after="40"/>
      </w:pPr>
      <w:r>
        <w:t>Input: OAK-D RGB image stream, normally /oak/rgb/image_raw.</w:t>
      </w:r>
    </w:p>
    <w:p>
      <w:pPr>
        <w:pStyle w:val="ListBullet"/>
        <w:spacing w:after="40"/>
      </w:pPr>
      <w:r>
        <w:t>Output: Detection2DArray messages, normally /detections_2d.</w:t>
      </w:r>
    </w:p>
    <w:p>
      <w:pPr>
        <w:pStyle w:val="ListBullet"/>
        <w:spacing w:after="40"/>
      </w:pPr>
      <w:r>
        <w:t>Downstream consumers: OAK depth fusion, scan decision node, camera preview, and digital-twin marker logic.</w:t>
      </w:r>
    </w:p>
    <w:p>
      <w:pPr>
        <w:pStyle w:val="ListBullet"/>
        <w:spacing w:after="40"/>
      </w:pPr>
      <w:r>
        <w:t>Runtime target: Jetson-based ROS 2 field stack.</w:t>
      </w:r>
    </w:p>
    <w:p>
      <w:pPr>
        <w:pStyle w:val="Heading2"/>
      </w:pPr>
      <w:r>
        <w:t>GYU-DET Dataset Role</w:t>
      </w:r>
    </w:p>
    <w:p>
      <w:pPr>
        <w:spacing w:after="100" w:line="250" w:lineRule="auto"/>
      </w:pPr>
      <w:r>
        <w:t>GYU-DET provides the defect-oriented training data and class definitions used by the detector. In the deployed system, the dataset YAML is loaded alongside the model engine so predicted class indices can be interpreted as meaningful defect labels. The dataset therefore acts as both the training source and the runtime label map for the inspection pipeline.</w:t>
      </w:r>
    </w:p>
    <w:tbl>
      <w:tblPr>
        <w:tblStyle w:val="TableGrid"/>
        <w:tblW w:type="auto" w:w="0"/>
        <w:tblLook w:firstColumn="1" w:firstRow="1" w:lastColumn="0" w:lastRow="0" w:noHBand="0" w:noVBand="1" w:val="04A0"/>
      </w:tblPr>
      <w:tblGrid>
        <w:gridCol w:w="5040"/>
        <w:gridCol w:w="5040"/>
      </w:tblGrid>
      <w:tr>
        <w:tc>
          <w:tcPr>
            <w:tcW w:type="dxa" w:w="5040"/>
            <w:shd w:fill="F4B183"/>
          </w:tcPr>
          <w:p>
            <w:r>
              <w:rPr>
                <w:b/>
                <w:color w:val="FFFFFF"/>
              </w:rPr>
              <w:t>Configuration Item</w:t>
            </w:r>
          </w:p>
        </w:tc>
        <w:tc>
          <w:tcPr>
            <w:tcW w:type="dxa" w:w="5040"/>
            <w:shd w:fill="F4B183"/>
          </w:tcPr>
          <w:p>
            <w:r>
              <w:rPr>
                <w:b/>
                <w:color w:val="FFFFFF"/>
              </w:rPr>
              <w:t>System Meaning</w:t>
            </w:r>
          </w:p>
        </w:tc>
      </w:tr>
      <w:tr>
        <w:tc>
          <w:tcPr>
            <w:tcW w:type="dxa" w:w="5040"/>
          </w:tcPr>
          <w:p>
            <w:r>
              <w:t>Model</w:t>
            </w:r>
          </w:p>
        </w:tc>
        <w:tc>
          <w:tcPr>
            <w:tcW w:type="dxa" w:w="5040"/>
          </w:tcPr>
          <w:p>
            <w:r>
              <w:t>YOLO11s detector exported for field inference.</w:t>
            </w:r>
          </w:p>
        </w:tc>
      </w:tr>
      <w:tr>
        <w:tc>
          <w:tcPr>
            <w:tcW w:type="dxa" w:w="5040"/>
          </w:tcPr>
          <w:p>
            <w:r>
              <w:t>Dataset YAML</w:t>
            </w:r>
          </w:p>
        </w:tc>
        <w:tc>
          <w:tcPr>
            <w:tcW w:type="dxa" w:w="5040"/>
          </w:tcPr>
          <w:p>
            <w:r>
              <w:t>Class names and dataset metadata used by the detector.</w:t>
            </w:r>
          </w:p>
        </w:tc>
      </w:tr>
      <w:tr>
        <w:tc>
          <w:tcPr>
            <w:tcW w:type="dxa" w:w="5040"/>
          </w:tcPr>
          <w:p>
            <w:r>
              <w:t>Image topic</w:t>
            </w:r>
          </w:p>
        </w:tc>
        <w:tc>
          <w:tcPr>
            <w:tcW w:type="dxa" w:w="5040"/>
          </w:tcPr>
          <w:p>
            <w:r>
              <w:t>ROS image stream consumed by the model.</w:t>
            </w:r>
          </w:p>
        </w:tc>
      </w:tr>
      <w:tr>
        <w:tc>
          <w:tcPr>
            <w:tcW w:type="dxa" w:w="5040"/>
          </w:tcPr>
          <w:p>
            <w:r>
              <w:t>Detections topic</w:t>
            </w:r>
          </w:p>
        </w:tc>
        <w:tc>
          <w:tcPr>
            <w:tcW w:type="dxa" w:w="5040"/>
          </w:tcPr>
          <w:p>
            <w:r>
              <w:t>ROS topic carrying model predictions to the rest of the pipeline.</w:t>
            </w:r>
          </w:p>
        </w:tc>
      </w:tr>
    </w:tbl>
    <w:p/>
    <w:p>
      <w:r>
        <w:br w:type="page"/>
      </w:r>
    </w:p>
    <w:p>
      <w:pPr>
        <w:pStyle w:val="Heading1"/>
      </w:pPr>
      <w:r>
        <w:t>Runtime Integration</w:t>
      </w:r>
    </w:p>
    <w:p>
      <w:pPr>
        <w:spacing w:after="100" w:line="250" w:lineRule="auto"/>
      </w:pPr>
      <w:r>
        <w:t>At runtime, the detector is launched by the ROS 2 launch system when detector mode is enabled. The model path and dataset path are passed as parameters, typically from config/field.env through scripts/run_field.sh and the launch files. This keeps deployment-specific paths out of the source code and allows the same detector node to be used across different Jetson workspaces or model builds.</w:t>
      </w:r>
    </w:p>
    <w:tbl>
      <w:tblPr>
        <w:tblStyle w:val="TableGrid"/>
        <w:tblW w:type="auto" w:w="0"/>
        <w:tblLook w:firstColumn="1" w:firstRow="1" w:lastColumn="0" w:lastRow="0" w:noHBand="0" w:noVBand="1" w:val="04A0"/>
      </w:tblPr>
      <w:tblGrid>
        <w:gridCol w:w="10080"/>
      </w:tblGrid>
      <w:tr>
        <w:tc>
          <w:tcPr>
            <w:tcW w:type="dxa" w:w="10080"/>
            <w:shd w:fill="F4F6F8"/>
          </w:tcPr>
          <w:p>
            <w:r>
              <w:rPr>
                <w:rFonts w:ascii="Consolas" w:hAnsi="Consolas"/>
                <w:sz w:val="17"/>
              </w:rPr>
              <w:t>MODEL_PATH=${WORKSPACE_ROOT}/src/defect_detection/models/yolov11m.engine</w:t>
              <w:br/>
              <w:t>DATASET_PATH=${WORKSPACE_ROOT}/src/defect_detection/models/dataset.yaml</w:t>
              <w:br/>
              <w:t>IMAGE_TOPIC=/oak/rgb/image_raw</w:t>
              <w:br/>
              <w:t>DETECTIONS_2D_TOPIC=/detections_2d</w:t>
            </w:r>
          </w:p>
        </w:tc>
      </w:tr>
    </w:tbl>
    <w:p/>
    <w:p>
      <w:pPr>
        <w:pStyle w:val="Heading2"/>
      </w:pPr>
      <w:r>
        <w:t>Effect on Scan and Digital-Twin Logic</w:t>
      </w:r>
    </w:p>
    <w:p>
      <w:pPr>
        <w:spacing w:after="100" w:line="250" w:lineRule="auto"/>
      </w:pPr>
      <w:r>
        <w:t>The detector output influences multiple parts of the application. The scan decision node uses detection confidence and detection count to decide whether an X7 scan should be requested. The depth fusion node combines 2D detections with OAK depth to create 3D detections. The defect map node merges those detections into persistent AI markers and rescan goals. Because of this, detector quality affects both immediate mission behavior and the final inspection artifacts.</w:t>
      </w:r>
    </w:p>
    <w:p>
      <w:pPr>
        <w:pStyle w:val="Heading2"/>
      </w:pPr>
      <w:r>
        <w:t>Operational Parameters</w:t>
      </w:r>
    </w:p>
    <w:tbl>
      <w:tblPr>
        <w:tblStyle w:val="TableGrid"/>
        <w:tblW w:type="auto" w:w="0"/>
        <w:tblLook w:firstColumn="1" w:firstRow="1" w:lastColumn="0" w:lastRow="0" w:noHBand="0" w:noVBand="1" w:val="04A0"/>
      </w:tblPr>
      <w:tblGrid>
        <w:gridCol w:w="3360"/>
        <w:gridCol w:w="3360"/>
        <w:gridCol w:w="3360"/>
      </w:tblGrid>
      <w:tr>
        <w:tc>
          <w:tcPr>
            <w:tcW w:type="dxa" w:w="3360"/>
            <w:shd w:fill="F4B183"/>
          </w:tcPr>
          <w:p>
            <w:r>
              <w:rPr>
                <w:b/>
                <w:color w:val="FFFFFF"/>
              </w:rPr>
              <w:t>Parameter</w:t>
            </w:r>
          </w:p>
        </w:tc>
        <w:tc>
          <w:tcPr>
            <w:tcW w:type="dxa" w:w="3360"/>
            <w:shd w:fill="F4B183"/>
          </w:tcPr>
          <w:p>
            <w:r>
              <w:rPr>
                <w:b/>
                <w:color w:val="FFFFFF"/>
              </w:rPr>
              <w:t>Typical Value</w:t>
            </w:r>
          </w:p>
        </w:tc>
        <w:tc>
          <w:tcPr>
            <w:tcW w:type="dxa" w:w="3360"/>
            <w:shd w:fill="F4B183"/>
          </w:tcPr>
          <w:p>
            <w:r>
              <w:rPr>
                <w:b/>
                <w:color w:val="FFFFFF"/>
              </w:rPr>
              <w:t>Purpose</w:t>
            </w:r>
          </w:p>
        </w:tc>
      </w:tr>
      <w:tr>
        <w:tc>
          <w:tcPr>
            <w:tcW w:type="dxa" w:w="3360"/>
          </w:tcPr>
          <w:p>
            <w:r>
              <w:t>SCAN_CONFIDENCE_THRESHOLD</w:t>
            </w:r>
          </w:p>
        </w:tc>
        <w:tc>
          <w:tcPr>
            <w:tcW w:type="dxa" w:w="3360"/>
          </w:tcPr>
          <w:p>
            <w:r>
              <w:t>0.65</w:t>
            </w:r>
          </w:p>
        </w:tc>
        <w:tc>
          <w:tcPr>
            <w:tcW w:type="dxa" w:w="3360"/>
          </w:tcPr>
          <w:p>
            <w:r>
              <w:t>Minimum confidence for scan request gating.</w:t>
            </w:r>
          </w:p>
        </w:tc>
      </w:tr>
      <w:tr>
        <w:tc>
          <w:tcPr>
            <w:tcW w:type="dxa" w:w="3360"/>
          </w:tcPr>
          <w:p>
            <w:r>
              <w:t>OAK_DEPTH_MINIMUM_CONFIDENCE</w:t>
            </w:r>
          </w:p>
        </w:tc>
        <w:tc>
          <w:tcPr>
            <w:tcW w:type="dxa" w:w="3360"/>
          </w:tcPr>
          <w:p>
            <w:r>
              <w:t>0.50</w:t>
            </w:r>
          </w:p>
        </w:tc>
        <w:tc>
          <w:tcPr>
            <w:tcW w:type="dxa" w:w="3360"/>
          </w:tcPr>
          <w:p>
            <w:r>
              <w:t>Minimum confidence for 2D-to-3D conversion.</w:t>
            </w:r>
          </w:p>
        </w:tc>
      </w:tr>
      <w:tr>
        <w:tc>
          <w:tcPr>
            <w:tcW w:type="dxa" w:w="3360"/>
          </w:tcPr>
          <w:p>
            <w:r>
              <w:t>SCAN_MIN_DETECTIONS</w:t>
            </w:r>
          </w:p>
        </w:tc>
        <w:tc>
          <w:tcPr>
            <w:tcW w:type="dxa" w:w="3360"/>
          </w:tcPr>
          <w:p>
            <w:r>
              <w:t>1</w:t>
            </w:r>
          </w:p>
        </w:tc>
        <w:tc>
          <w:tcPr>
            <w:tcW w:type="dxa" w:w="3360"/>
          </w:tcPr>
          <w:p>
            <w:r>
              <w:t>Minimum qualifying detections before requesting scan.</w:t>
            </w:r>
          </w:p>
        </w:tc>
      </w:tr>
      <w:tr>
        <w:tc>
          <w:tcPr>
            <w:tcW w:type="dxa" w:w="3360"/>
          </w:tcPr>
          <w:p>
            <w:r>
              <w:t>SCAN_COOLDOWN_SEC</w:t>
            </w:r>
          </w:p>
        </w:tc>
        <w:tc>
          <w:tcPr>
            <w:tcW w:type="dxa" w:w="3360"/>
          </w:tcPr>
          <w:p>
            <w:r>
              <w:t>60.0</w:t>
            </w:r>
          </w:p>
        </w:tc>
        <w:tc>
          <w:tcPr>
            <w:tcW w:type="dxa" w:w="3360"/>
          </w:tcPr>
          <w:p>
            <w:r>
              <w:t>Prevents repeated X7 scan requests from short-lived detections.</w:t>
            </w:r>
          </w:p>
        </w:tc>
      </w:tr>
    </w:tbl>
    <w:p/>
    <w:p>
      <w:pPr>
        <w:pStyle w:val="Heading2"/>
      </w:pPr>
      <w:r>
        <w:t>Maintenance Notes</w:t>
      </w:r>
    </w:p>
    <w:p>
      <w:pPr>
        <w:spacing w:after="100" w:line="250" w:lineRule="auto"/>
      </w:pPr>
      <w:r>
        <w:t>The model and dataset should be treated as versioned field assets. If the dataset labels change, the exported model and dataset YAML should be kept together. If the model engine is rebuilt, the Jetson should be tested with the actual OAK image stream before field deployment. Evaluation should include both detection metrics and mission-level behavior such as false scan requests, missed defects, inference latency, and confidence stability.</w:t>
      </w:r>
    </w:p>
    <w:p>
      <w:pPr>
        <w:pStyle w:val="ListBullet"/>
        <w:spacing w:after="40"/>
      </w:pPr>
      <w:r>
        <w:t>Keep model engine, dataset YAML, and class names synchronized.</w:t>
      </w:r>
    </w:p>
    <w:p>
      <w:pPr>
        <w:pStyle w:val="ListBullet"/>
        <w:spacing w:after="40"/>
      </w:pPr>
      <w:r>
        <w:t>Record the model version used for each field run.</w:t>
      </w:r>
    </w:p>
    <w:p>
      <w:pPr>
        <w:pStyle w:val="ListBullet"/>
        <w:spacing w:after="40"/>
      </w:pPr>
      <w:r>
        <w:t>Test on site-like lighting and camera angles, not only curated images.</w:t>
      </w:r>
    </w:p>
    <w:p>
      <w:pPr>
        <w:pStyle w:val="ListBullet"/>
        <w:spacing w:after="40"/>
      </w:pPr>
      <w:r>
        <w:t>Tune confidence thresholds based on both detection performance and scan efficiency.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Arun Varadarajan | arunvaradarajan@txdot.gov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D6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E94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D6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