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YOLO11s Model Selection on the GYU-DET Dataset</w:t>
      </w:r>
    </w:p>
    <w:p>
      <w:pPr>
        <w:jc w:val="center"/>
      </w:pPr>
      <w:r>
        <w:rPr>
          <w:color w:val="144160"/>
          <w:sz w:val="26"/>
        </w:rPr>
        <w:t>Model justification for robotic infrastructure defect detection</w:t>
      </w:r>
    </w:p>
    <w:p>
      <w:pPr>
        <w:spacing w:after="100" w:line="250" w:lineRule="auto"/>
      </w:pPr>
      <w:r>
        <w:t>The inspection application uses a real-time perception stack in which the Jetson must process OAK-D imagery while also running ROS 2 nodes for localization, scan coordination, digital-twin updates, and robot goal handling. YOLO11s was selected because it provides a practical balance between detection quality and runtime cost. The model is small enough to support field inference on embedded GPU hardware, while still being expressive enough to detect infrastructure defects when trained on a domain-specific dataset such as GYU-DET.</w:t>
      </w:r>
    </w:p>
    <w:p>
      <w:pPr>
        <w:pStyle w:val="Heading2"/>
      </w:pPr>
      <w:r>
        <w:t>Why YOLO11s Was Used</w:t>
      </w:r>
    </w:p>
    <w:p>
      <w:pPr>
        <w:spacing w:after="100" w:line="250" w:lineRule="auto"/>
      </w:pPr>
      <w:r>
        <w:t>YOLO11s is an appropriate middle point between very small models that may miss subtle defects and larger models that may reduce frame rate or consume too much GPU memory on the Jetson. In this pipeline, the detector is not an isolated desktop benchmark; it runs beside OAK depth fusion, scan decision logic, digital-twin persistence, Trimble transfer handling, and robot navigation status. A lighter detector leaves compute headroom for the rest of the autonomy stack.</w:t>
      </w:r>
    </w:p>
    <w:p>
      <w:pPr>
        <w:pStyle w:val="ListBullet"/>
        <w:spacing w:after="40"/>
      </w:pPr>
      <w:r>
        <w:t>Real-time behavior matters because detections trigger scan decisions and rescan goals.</w:t>
      </w:r>
    </w:p>
    <w:p>
      <w:pPr>
        <w:pStyle w:val="ListBullet"/>
        <w:spacing w:after="40"/>
      </w:pPr>
      <w:r>
        <w:t>The small model size improves deployability on Jetson-class embedded hardware.</w:t>
      </w:r>
    </w:p>
    <w:p>
      <w:pPr>
        <w:pStyle w:val="ListBullet"/>
        <w:spacing w:after="40"/>
      </w:pPr>
      <w:r>
        <w:t>Lower latency helps the robot react before moving past a defect viewpoint.</w:t>
      </w:r>
    </w:p>
    <w:p>
      <w:pPr>
        <w:pStyle w:val="ListBullet"/>
        <w:spacing w:after="40"/>
      </w:pPr>
      <w:r>
        <w:t>The model is easier to rebuild, export, and test repeatedly during field iteration.</w:t>
      </w:r>
    </w:p>
    <w:p>
      <w:pPr>
        <w:pStyle w:val="Heading2"/>
      </w:pPr>
      <w:r>
        <w:t>Why GYU-DET Was Used</w:t>
      </w:r>
    </w:p>
    <w:p>
      <w:pPr>
        <w:spacing w:after="100" w:line="250" w:lineRule="auto"/>
      </w:pPr>
      <w:r>
        <w:t>GYU-DET was used because the application needs infrastructure-relevant defect categories rather than generic object-detection classes. A general-purpose dataset would teach the model broad visual concepts, but it would not strongly represent inspection targets such as cracks, corrosion, spalling, surface damage, or other defect-like patterns. A defect-focused dataset makes the detector output more useful to the scan gate and digital-twin marker pipeline.</w:t>
      </w:r>
    </w:p>
    <w:tbl>
      <w:tblPr>
        <w:tblStyle w:val="TableGrid"/>
        <w:tblW w:type="auto" w:w="0"/>
        <w:tblLook w:firstColumn="1" w:firstRow="1" w:lastColumn="0" w:lastRow="0" w:noHBand="0" w:noVBand="1" w:val="04A0"/>
      </w:tblPr>
      <w:tblGrid>
        <w:gridCol w:w="5040"/>
        <w:gridCol w:w="5040"/>
      </w:tblGrid>
      <w:tr>
        <w:tc>
          <w:tcPr>
            <w:tcW w:type="dxa" w:w="5040"/>
            <w:shd w:fill="F4B183"/>
          </w:tcPr>
          <w:p>
            <w:r>
              <w:rPr>
                <w:b/>
                <w:color w:val="FFFFFF"/>
              </w:rPr>
              <w:t>Requirement</w:t>
            </w:r>
          </w:p>
        </w:tc>
        <w:tc>
          <w:tcPr>
            <w:tcW w:type="dxa" w:w="5040"/>
            <w:shd w:fill="F4B183"/>
          </w:tcPr>
          <w:p>
            <w:r>
              <w:rPr>
                <w:b/>
                <w:color w:val="FFFFFF"/>
              </w:rPr>
              <w:t>YOLO11s + GYU-DET Benefit</w:t>
            </w:r>
          </w:p>
        </w:tc>
      </w:tr>
      <w:tr>
        <w:tc>
          <w:tcPr>
            <w:tcW w:type="dxa" w:w="5040"/>
          </w:tcPr>
          <w:p>
            <w:r>
              <w:t>Embedded inference</w:t>
            </w:r>
          </w:p>
        </w:tc>
        <w:tc>
          <w:tcPr>
            <w:tcW w:type="dxa" w:w="5040"/>
          </w:tcPr>
          <w:p>
            <w:r>
              <w:t>YOLO11s keeps the model light enough for Jetson deployment.</w:t>
            </w:r>
          </w:p>
        </w:tc>
      </w:tr>
      <w:tr>
        <w:tc>
          <w:tcPr>
            <w:tcW w:type="dxa" w:w="5040"/>
          </w:tcPr>
          <w:p>
            <w:r>
              <w:t>Inspection relevance</w:t>
            </w:r>
          </w:p>
        </w:tc>
        <w:tc>
          <w:tcPr>
            <w:tcW w:type="dxa" w:w="5040"/>
          </w:tcPr>
          <w:p>
            <w:r>
              <w:t>GYU-DET aligns training data with defect-style visual targets.</w:t>
            </w:r>
          </w:p>
        </w:tc>
      </w:tr>
      <w:tr>
        <w:tc>
          <w:tcPr>
            <w:tcW w:type="dxa" w:w="5040"/>
          </w:tcPr>
          <w:p>
            <w:r>
              <w:t>Autonomous scan gating</w:t>
            </w:r>
          </w:p>
        </w:tc>
        <w:tc>
          <w:tcPr>
            <w:tcW w:type="dxa" w:w="5040"/>
          </w:tcPr>
          <w:p>
            <w:r>
              <w:t>Model confidence can drive whether Trimble rescans are worth the time.</w:t>
            </w:r>
          </w:p>
        </w:tc>
      </w:tr>
      <w:tr>
        <w:tc>
          <w:tcPr>
            <w:tcW w:type="dxa" w:w="5040"/>
          </w:tcPr>
          <w:p>
            <w:r>
              <w:t>Digital-twin markers</w:t>
            </w:r>
          </w:p>
        </w:tc>
        <w:tc>
          <w:tcPr>
            <w:tcW w:type="dxa" w:w="5040"/>
          </w:tcPr>
          <w:p>
            <w:r>
              <w:t>Predicted classes become persistent AI marker labels.</w:t>
            </w:r>
          </w:p>
        </w:tc>
      </w:tr>
    </w:tbl>
    <w:p/>
    <w:p>
      <w:r>
        <w:br w:type="page"/>
      </w:r>
    </w:p>
    <w:p>
      <w:pPr>
        <w:pStyle w:val="Heading1"/>
      </w:pPr>
      <w:r>
        <w:t>Fit Within the Pipeline</w:t>
      </w:r>
    </w:p>
    <w:p>
      <w:pPr>
        <w:spacing w:after="100" w:line="250" w:lineRule="auto"/>
      </w:pPr>
      <w:r>
        <w:t>The detector sits near the beginning of the autonomy chain. OAK RGB frames enter YOLO11s, detections are published as /detections_2d, OAK depth fusion projects qualifying detections into /detections_3d, and the digital-twin nodes convert those 3D observations into markers and rescan goals. The model choice therefore affects far more than the camera preview: it directly changes scan frequency, navigation priorities, and the final inspection record.</w:t>
      </w:r>
    </w:p>
    <w:p>
      <w:pPr>
        <w:pStyle w:val="Heading2"/>
      </w:pPr>
      <w:r>
        <w:t>Why Not a Larger Model</w:t>
      </w:r>
    </w:p>
    <w:p>
      <w:pPr>
        <w:spacing w:after="100" w:line="250" w:lineRule="auto"/>
      </w:pPr>
      <w:r>
        <w:t>A larger YOLO model could improve accuracy in some controlled tests, but field autonomy benefits from consistent frame rate and predictable resource use. If the detector saturates the Jetson, other parts of the stack suffer: camera preview becomes delayed, callbacks queue up, scan requests may lag, and robot status updates become less trustworthy. YOLO11s preserves a stronger real-time margin while still offering useful defect classification when trained on the correct dataset.</w:t>
      </w:r>
    </w:p>
    <w:p>
      <w:pPr>
        <w:pStyle w:val="Heading2"/>
      </w:pPr>
      <w:r>
        <w:t>Why Not a Smaller Model</w:t>
      </w:r>
    </w:p>
    <w:p>
      <w:pPr>
        <w:spacing w:after="100" w:line="250" w:lineRule="auto"/>
      </w:pPr>
      <w:r>
        <w:t>A smaller model may run faster, but infrastructure defects are often visually subtle, partially occluded, low contrast, or seen from imperfect viewpoints. The s-size model gives the application more representational capacity than a nano model without moving into the heavier compute profile of medium or large variants. That tradeoff is especially valuable when the detection output is used to decide whether to stop and perform an expensive Trimble scan.</w:t>
      </w:r>
    </w:p>
    <w:p>
      <w:pPr>
        <w:pStyle w:val="Heading2"/>
      </w:pPr>
      <w:r>
        <w:t>Operational Justification</w:t>
      </w:r>
    </w:p>
    <w:p>
      <w:pPr>
        <w:spacing w:after="100" w:line="250" w:lineRule="auto"/>
      </w:pPr>
      <w:r>
        <w:t>The goal is not simply to maximize benchmark mAP. The goal is to support a reliable robotic inspection loop. YOLO11s on GYU-DET gives the system a detector that is domain-specific, deployable, fast enough for live OAK imagery, and strong enough to feed downstream 3D marker generation. It also keeps the pipeline efficient by allowing the scan decision node to skip X7 scans when detections are absent or confidence is too low.</w:t>
      </w:r>
    </w:p>
    <w:p>
      <w:pPr>
        <w:pStyle w:val="ListBullet"/>
        <w:spacing w:after="40"/>
      </w:pPr>
      <w:r>
        <w:t>Use YOLO11s as the default field model for balanced speed and detection capability.</w:t>
      </w:r>
    </w:p>
    <w:p>
      <w:pPr>
        <w:pStyle w:val="ListBullet"/>
        <w:spacing w:after="40"/>
      </w:pPr>
      <w:r>
        <w:t>Use GYU-DET because its defect-oriented labels better match the inspection mission.</w:t>
      </w:r>
    </w:p>
    <w:p>
      <w:pPr>
        <w:pStyle w:val="ListBullet"/>
        <w:spacing w:after="40"/>
      </w:pPr>
      <w:r>
        <w:t>Retain confidence thresholds so the Trimble X7 only scans when detections justify it.</w:t>
      </w:r>
    </w:p>
    <w:p>
      <w:pPr>
        <w:pStyle w:val="ListBullet"/>
        <w:spacing w:after="40"/>
      </w:pPr>
      <w:r>
        <w:t>Re-evaluate model size only after collecting site-specific timing, false-positive, and false-negative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Arun Varadarajan | arunvaradarajan@txdot.gov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DD6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E94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D6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