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2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5"/>
      </w:tblGrid>
      <w:tr w:rsidR="00960E19" w:rsidTr="00960E19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25"/>
            </w:tblGrid>
            <w:tr w:rsidR="00960E19">
              <w:trPr>
                <w:tblCellSpacing w:w="0" w:type="dxa"/>
              </w:trPr>
              <w:tc>
                <w:tcPr>
                  <w:tcW w:w="0" w:type="auto"/>
                  <w:tcMar>
                    <w:top w:w="75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60E19" w:rsidRDefault="00960E1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</w:rPr>
                    <w:drawing>
                      <wp:inline distT="0" distB="0" distL="0" distR="0">
                        <wp:extent cx="6572250" cy="1238250"/>
                        <wp:effectExtent l="0" t="0" r="0" b="0"/>
                        <wp:docPr id="14" name="Picture 14" descr="NetApp Sales Weekly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 descr="NetApp Sales Weekly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72250" cy="1238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960E19" w:rsidRDefault="00960E19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960E19" w:rsidRDefault="00960E19" w:rsidP="00960E19">
      <w:pPr>
        <w:spacing w:line="255" w:lineRule="atLeast"/>
        <w:rPr>
          <w:rFonts w:ascii="Arial" w:eastAsia="Times New Roman" w:hAnsi="Arial" w:cs="Arial"/>
          <w:color w:val="454545"/>
          <w:sz w:val="27"/>
          <w:szCs w:val="27"/>
        </w:rPr>
      </w:pPr>
    </w:p>
    <w:p w:rsidR="00960E19" w:rsidRDefault="00960E19" w:rsidP="00960E19">
      <w:pPr>
        <w:spacing w:line="255" w:lineRule="atLeast"/>
        <w:rPr>
          <w:rFonts w:ascii="Arial" w:eastAsia="Times New Roman" w:hAnsi="Arial" w:cs="Arial"/>
          <w:color w:val="454545"/>
          <w:sz w:val="17"/>
          <w:szCs w:val="17"/>
        </w:rPr>
      </w:pPr>
      <w:bookmarkStart w:id="0" w:name="_GoBack"/>
      <w:bookmarkEnd w:id="0"/>
      <w:r>
        <w:rPr>
          <w:rFonts w:ascii="Arial" w:eastAsia="Times New Roman" w:hAnsi="Arial" w:cs="Arial"/>
          <w:color w:val="454545"/>
          <w:sz w:val="27"/>
          <w:szCs w:val="27"/>
        </w:rPr>
        <w:t>You Can Make Your Voice Heard</w:t>
      </w:r>
      <w:r>
        <w:rPr>
          <w:rFonts w:ascii="Arial" w:eastAsia="Times New Roman" w:hAnsi="Arial" w:cs="Arial"/>
          <w:color w:val="454545"/>
          <w:sz w:val="17"/>
          <w:szCs w:val="17"/>
        </w:rPr>
        <w:br/>
      </w:r>
      <w:r>
        <w:rPr>
          <w:rFonts w:ascii="Arial" w:eastAsia="Times New Roman" w:hAnsi="Arial" w:cs="Arial"/>
          <w:color w:val="454545"/>
          <w:sz w:val="17"/>
          <w:szCs w:val="17"/>
        </w:rPr>
        <w:br/>
        <w:t xml:space="preserve">You can make your voice heard about any of this year's GC Initiatives by volunteering to help one of our teams. The Guiding Coalition (GC) is a group of volunteers from all the go-to-market organizations in NetApp – EMEA, Americas, APAC and CS Ops. GC teams research important questions and deliver recommendations to go-to-market executives. Our Initiatives for FY15 are: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9060"/>
      </w:tblGrid>
      <w:tr w:rsidR="00960E19" w:rsidTr="00960E19">
        <w:trPr>
          <w:tblCellSpacing w:w="0" w:type="dxa"/>
        </w:trPr>
        <w:tc>
          <w:tcPr>
            <w:tcW w:w="300" w:type="dxa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960E19" w:rsidRDefault="00960E1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23825" cy="123825"/>
                  <wp:effectExtent l="0" t="0" r="9525" b="9525"/>
                  <wp:docPr id="12" name="Picture 12" descr="http://www-download.netapp.com/edm/images/list-item-dis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-download.netapp.com/edm/images/list-item-dis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75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960E19" w:rsidRDefault="00960E19">
            <w:pPr>
              <w:spacing w:line="255" w:lineRule="atLeast"/>
              <w:rPr>
                <w:rFonts w:ascii="Arial" w:eastAsia="Times New Roman" w:hAnsi="Arial" w:cs="Arial"/>
                <w:color w:val="454545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454545"/>
                <w:sz w:val="17"/>
                <w:szCs w:val="17"/>
              </w:rPr>
              <w:t>Service Provider Readiness: delivering NetApp solutions in an "as a service" business model.</w:t>
            </w:r>
          </w:p>
        </w:tc>
      </w:tr>
      <w:tr w:rsidR="00960E19" w:rsidTr="00960E19">
        <w:trPr>
          <w:tblCellSpacing w:w="0" w:type="dxa"/>
        </w:trPr>
        <w:tc>
          <w:tcPr>
            <w:tcW w:w="300" w:type="dxa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960E19" w:rsidRDefault="00960E1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23825" cy="123825"/>
                  <wp:effectExtent l="0" t="0" r="9525" b="9525"/>
                  <wp:docPr id="11" name="Picture 11" descr="http://www-download.netapp.com/edm/images/list-item-dis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-download.netapp.com/edm/images/list-item-dis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75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960E19" w:rsidRDefault="00960E19">
            <w:pPr>
              <w:spacing w:line="255" w:lineRule="atLeast"/>
              <w:rPr>
                <w:rFonts w:ascii="Arial" w:eastAsia="Times New Roman" w:hAnsi="Arial" w:cs="Arial"/>
                <w:color w:val="454545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454545"/>
                <w:sz w:val="17"/>
                <w:szCs w:val="17"/>
              </w:rPr>
              <w:t>Reduce The Noise: simplifying delivery of customer-critical information to NetApp go-to-market personnel</w:t>
            </w:r>
          </w:p>
        </w:tc>
      </w:tr>
      <w:tr w:rsidR="00960E19" w:rsidTr="00960E19">
        <w:trPr>
          <w:tblCellSpacing w:w="0" w:type="dxa"/>
        </w:trPr>
        <w:tc>
          <w:tcPr>
            <w:tcW w:w="300" w:type="dxa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960E19" w:rsidRDefault="00960E1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23825" cy="123825"/>
                  <wp:effectExtent l="0" t="0" r="9525" b="9525"/>
                  <wp:docPr id="10" name="Picture 10" descr="http://www-download.netapp.com/edm/images/list-item-dis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-download.netapp.com/edm/images/list-item-dis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75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960E19" w:rsidRDefault="00960E19">
            <w:pPr>
              <w:spacing w:line="255" w:lineRule="atLeast"/>
              <w:rPr>
                <w:rFonts w:ascii="Arial" w:eastAsia="Times New Roman" w:hAnsi="Arial" w:cs="Arial"/>
                <w:color w:val="454545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454545"/>
                <w:sz w:val="17"/>
                <w:szCs w:val="17"/>
              </w:rPr>
              <w:t>Unite: Aggregating and standardizing key customer profile information in support of NetApp go-to-market</w:t>
            </w:r>
          </w:p>
        </w:tc>
      </w:tr>
      <w:tr w:rsidR="00960E19" w:rsidTr="00960E19">
        <w:trPr>
          <w:tblCellSpacing w:w="0" w:type="dxa"/>
        </w:trPr>
        <w:tc>
          <w:tcPr>
            <w:tcW w:w="300" w:type="dxa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960E19" w:rsidRDefault="00960E1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23825" cy="123825"/>
                  <wp:effectExtent l="0" t="0" r="9525" b="9525"/>
                  <wp:docPr id="9" name="Picture 9" descr="http://www-download.netapp.com/edm/images/list-item-dis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-download.netapp.com/edm/images/list-item-dis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75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960E19" w:rsidRDefault="00960E19">
            <w:pPr>
              <w:spacing w:line="255" w:lineRule="atLeast"/>
              <w:rPr>
                <w:rFonts w:ascii="Arial" w:eastAsia="Times New Roman" w:hAnsi="Arial" w:cs="Arial"/>
                <w:color w:val="454545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454545"/>
                <w:sz w:val="17"/>
                <w:szCs w:val="17"/>
              </w:rPr>
              <w:t>Reignite The Passion: "Updating" NetApp's culture while maintaining our core values</w:t>
            </w:r>
          </w:p>
        </w:tc>
      </w:tr>
      <w:tr w:rsidR="00960E19" w:rsidTr="00960E19">
        <w:trPr>
          <w:tblCellSpacing w:w="0" w:type="dxa"/>
        </w:trPr>
        <w:tc>
          <w:tcPr>
            <w:tcW w:w="300" w:type="dxa"/>
            <w:tcMar>
              <w:top w:w="75" w:type="dxa"/>
              <w:left w:w="0" w:type="dxa"/>
              <w:bottom w:w="75" w:type="dxa"/>
              <w:right w:w="0" w:type="dxa"/>
            </w:tcMar>
            <w:hideMark/>
          </w:tcPr>
          <w:p w:rsidR="00960E19" w:rsidRDefault="00960E1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>
                  <wp:extent cx="123825" cy="123825"/>
                  <wp:effectExtent l="0" t="0" r="9525" b="9525"/>
                  <wp:docPr id="8" name="Picture 8" descr="http://www-download.netapp.com/edm/images/list-item-dis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-download.netapp.com/edm/images/list-item-dis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75" w:type="dxa"/>
              <w:left w:w="30" w:type="dxa"/>
              <w:bottom w:w="0" w:type="dxa"/>
              <w:right w:w="0" w:type="dxa"/>
            </w:tcMar>
            <w:vAlign w:val="center"/>
            <w:hideMark/>
          </w:tcPr>
          <w:p w:rsidR="00960E19" w:rsidRDefault="00960E19">
            <w:pPr>
              <w:spacing w:line="255" w:lineRule="atLeast"/>
              <w:rPr>
                <w:rFonts w:ascii="Arial" w:eastAsia="Times New Roman" w:hAnsi="Arial" w:cs="Arial"/>
                <w:color w:val="454545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color w:val="454545"/>
                <w:sz w:val="17"/>
                <w:szCs w:val="17"/>
              </w:rPr>
              <w:t>Communications: Telling NetApp G-T-M about the Guiding Coalition and collecting inputs from G-T-M personnel for the GC teams</w:t>
            </w:r>
          </w:p>
        </w:tc>
      </w:tr>
    </w:tbl>
    <w:p w:rsidR="00960E19" w:rsidRDefault="00960E19">
      <w:r>
        <w:rPr>
          <w:rFonts w:ascii="Arial" w:eastAsia="Times New Roman" w:hAnsi="Arial" w:cs="Arial"/>
          <w:color w:val="454545"/>
          <w:sz w:val="17"/>
          <w:szCs w:val="17"/>
        </w:rPr>
        <w:br/>
        <w:t xml:space="preserve">Contact: </w:t>
      </w:r>
      <w:hyperlink r:id="rId7" w:history="1">
        <w:r>
          <w:rPr>
            <w:rStyle w:val="Hyperlink"/>
            <w:rFonts w:ascii="Arial" w:eastAsia="Times New Roman" w:hAnsi="Arial" w:cs="Arial"/>
            <w:color w:val="0067C5"/>
            <w:sz w:val="17"/>
            <w:szCs w:val="17"/>
            <w:u w:val="none"/>
          </w:rPr>
          <w:t xml:space="preserve">John "Chick" Schoen </w:t>
        </w:r>
      </w:hyperlink>
      <w:r>
        <w:rPr>
          <w:rFonts w:ascii="Arial" w:eastAsia="Times New Roman" w:hAnsi="Arial" w:cs="Arial"/>
          <w:color w:val="454545"/>
          <w:sz w:val="17"/>
          <w:szCs w:val="17"/>
        </w:rPr>
        <w:br/>
      </w:r>
      <w:r>
        <w:rPr>
          <w:rFonts w:ascii="Arial" w:eastAsia="Times New Roman" w:hAnsi="Arial" w:cs="Arial"/>
          <w:noProof/>
          <w:color w:val="454545"/>
          <w:sz w:val="17"/>
          <w:szCs w:val="17"/>
        </w:rPr>
        <w:drawing>
          <wp:inline distT="0" distB="0" distL="0" distR="0">
            <wp:extent cx="114300" cy="85725"/>
            <wp:effectExtent l="0" t="0" r="0" b="9525"/>
            <wp:docPr id="7" name="Picture 7" descr="http://NetAppWWSales.MV.TreeHouseI.com/MVImages/sales_weekly/2011/green-arrow-12x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NetAppWWSales.MV.TreeHouseI.com/MVImages/sales_weekly/2011/green-arrow-12x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454545"/>
          <w:sz w:val="17"/>
          <w:szCs w:val="17"/>
        </w:rPr>
        <w:t> </w:t>
      </w:r>
      <w:hyperlink r:id="rId9" w:history="1">
        <w:r>
          <w:rPr>
            <w:rStyle w:val="Hyperlink"/>
            <w:rFonts w:ascii="Arial" w:eastAsia="Times New Roman" w:hAnsi="Arial" w:cs="Arial"/>
            <w:color w:val="0067C5"/>
            <w:sz w:val="17"/>
            <w:szCs w:val="17"/>
            <w:u w:val="none"/>
          </w:rPr>
          <w:t>To Volunteer, Sign Up</w:t>
        </w:r>
      </w:hyperlink>
      <w:r>
        <w:rPr>
          <w:rFonts w:ascii="Arial" w:eastAsia="Times New Roman" w:hAnsi="Arial" w:cs="Arial"/>
          <w:color w:val="454545"/>
          <w:sz w:val="17"/>
          <w:szCs w:val="17"/>
        </w:rPr>
        <w:br/>
      </w:r>
      <w:r>
        <w:rPr>
          <w:rFonts w:ascii="Arial" w:eastAsia="Times New Roman" w:hAnsi="Arial" w:cs="Arial"/>
          <w:color w:val="454545"/>
          <w:sz w:val="17"/>
          <w:szCs w:val="17"/>
        </w:rPr>
        <w:br/>
      </w:r>
      <w:r>
        <w:rPr>
          <w:rFonts w:ascii="Arial" w:eastAsia="Times New Roman" w:hAnsi="Arial" w:cs="Arial"/>
          <w:b/>
          <w:bCs/>
          <w:color w:val="454545"/>
          <w:sz w:val="17"/>
          <w:szCs w:val="17"/>
        </w:rPr>
        <w:t>NSW Site</w:t>
      </w:r>
      <w:r>
        <w:rPr>
          <w:rFonts w:ascii="Arial" w:eastAsia="Times New Roman" w:hAnsi="Arial" w:cs="Arial"/>
          <w:color w:val="454545"/>
          <w:sz w:val="17"/>
          <w:szCs w:val="17"/>
        </w:rPr>
        <w:br/>
      </w:r>
      <w:hyperlink r:id="rId10" w:history="1">
        <w:r>
          <w:rPr>
            <w:rFonts w:ascii="Arial" w:eastAsia="Times New Roman" w:hAnsi="Arial" w:cs="Arial"/>
            <w:noProof/>
            <w:color w:val="0067C5"/>
            <w:sz w:val="17"/>
            <w:szCs w:val="17"/>
          </w:rPr>
          <w:drawing>
            <wp:inline distT="0" distB="0" distL="0" distR="0">
              <wp:extent cx="152400" cy="104775"/>
              <wp:effectExtent l="0" t="0" r="0" b="9525"/>
              <wp:docPr id="6" name="Picture 6" descr="http://NetAppWWSales.MV.TreeHouseI.com/MVImages/sales_weekly/icon-news-16x11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http://NetAppWWSales.MV.TreeHouseI.com/MVImages/sales_weekly/icon-news-16x11.gif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04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  <w:rFonts w:ascii="Arial" w:eastAsia="Times New Roman" w:hAnsi="Arial" w:cs="Arial"/>
            <w:color w:val="0067C5"/>
            <w:sz w:val="17"/>
            <w:szCs w:val="17"/>
            <w:u w:val="none"/>
          </w:rPr>
          <w:t> Access the site</w:t>
        </w:r>
      </w:hyperlink>
      <w:r>
        <w:rPr>
          <w:rFonts w:ascii="Arial" w:eastAsia="Times New Roman" w:hAnsi="Arial" w:cs="Arial"/>
          <w:color w:val="454545"/>
          <w:sz w:val="17"/>
          <w:szCs w:val="17"/>
        </w:rPr>
        <w:t xml:space="preserve">   </w:t>
      </w:r>
      <w:hyperlink r:id="rId12" w:history="1">
        <w:r>
          <w:rPr>
            <w:rFonts w:ascii="Arial" w:eastAsia="Times New Roman" w:hAnsi="Arial" w:cs="Arial"/>
            <w:noProof/>
            <w:color w:val="0067C5"/>
            <w:sz w:val="17"/>
            <w:szCs w:val="17"/>
          </w:rPr>
          <w:drawing>
            <wp:inline distT="0" distB="0" distL="0" distR="0">
              <wp:extent cx="152400" cy="114300"/>
              <wp:effectExtent l="0" t="0" r="0" b="0"/>
              <wp:docPr id="5" name="Picture 5" descr="http://NetAppWWSales.MV.TreeHouseI.com/MVImages/sales_weekly/icon-site_tour-16x12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http://NetAppWWSales.MV.TreeHouseI.com/MVImages/sales_weekly/icon-site_tour-16x12.gif"/>
                      <pic:cNvPicPr>
                        <a:picLocks noChangeAspect="1" noChangeArrowheads="1"/>
                      </pic:cNvPicPr>
                    </pic:nvPicPr>
                    <pic:blipFill>
                      <a:blip r:embed="rId1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  <w:rFonts w:ascii="Arial" w:eastAsia="Times New Roman" w:hAnsi="Arial" w:cs="Arial"/>
            <w:color w:val="0067C5"/>
            <w:sz w:val="17"/>
            <w:szCs w:val="17"/>
            <w:u w:val="none"/>
          </w:rPr>
          <w:t> RSS Feeds Guide</w:t>
        </w:r>
      </w:hyperlink>
      <w:r>
        <w:rPr>
          <w:rFonts w:ascii="Arial" w:eastAsia="Times New Roman" w:hAnsi="Arial" w:cs="Arial"/>
          <w:color w:val="454545"/>
          <w:sz w:val="17"/>
          <w:szCs w:val="17"/>
        </w:rPr>
        <w:t xml:space="preserve">   </w:t>
      </w:r>
      <w:hyperlink r:id="rId14" w:history="1">
        <w:r>
          <w:rPr>
            <w:rFonts w:ascii="Arial" w:eastAsia="Times New Roman" w:hAnsi="Arial" w:cs="Arial"/>
            <w:noProof/>
            <w:color w:val="0067C5"/>
            <w:sz w:val="17"/>
            <w:szCs w:val="17"/>
          </w:rPr>
          <w:drawing>
            <wp:inline distT="0" distB="0" distL="0" distR="0">
              <wp:extent cx="152400" cy="152400"/>
              <wp:effectExtent l="0" t="0" r="0" b="0"/>
              <wp:docPr id="4" name="Picture 4" descr="http://NetAppWWSales.MV.TreeHouseI.com/MVImages/sales_weekly/icon_rss-16x16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http://NetAppWWSales.MV.TreeHouseI.com/MVImages/sales_weekly/icon_rss-16x16.gif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  <w:rFonts w:ascii="Arial" w:eastAsia="Times New Roman" w:hAnsi="Arial" w:cs="Arial"/>
            <w:color w:val="0067C5"/>
            <w:sz w:val="17"/>
            <w:szCs w:val="17"/>
            <w:u w:val="none"/>
          </w:rPr>
          <w:t> Subscribe to the site</w:t>
        </w:r>
      </w:hyperlink>
      <w:r>
        <w:rPr>
          <w:rFonts w:ascii="Arial" w:eastAsia="Times New Roman" w:hAnsi="Arial" w:cs="Arial"/>
          <w:color w:val="454545"/>
          <w:sz w:val="17"/>
          <w:szCs w:val="17"/>
        </w:rPr>
        <w:br/>
      </w:r>
      <w:r>
        <w:rPr>
          <w:rFonts w:ascii="Arial" w:eastAsia="Times New Roman" w:hAnsi="Arial" w:cs="Arial"/>
          <w:color w:val="454545"/>
          <w:sz w:val="17"/>
          <w:szCs w:val="17"/>
        </w:rPr>
        <w:br/>
      </w:r>
      <w:r>
        <w:rPr>
          <w:rFonts w:ascii="Arial" w:eastAsia="Times New Roman" w:hAnsi="Arial" w:cs="Arial"/>
          <w:b/>
          <w:bCs/>
          <w:color w:val="454545"/>
          <w:sz w:val="17"/>
          <w:szCs w:val="17"/>
        </w:rPr>
        <w:t>NSW Podcast</w:t>
      </w:r>
      <w:r>
        <w:rPr>
          <w:rFonts w:ascii="Arial" w:eastAsia="Times New Roman" w:hAnsi="Arial" w:cs="Arial"/>
          <w:color w:val="454545"/>
          <w:sz w:val="17"/>
          <w:szCs w:val="17"/>
        </w:rPr>
        <w:br/>
      </w:r>
      <w:hyperlink r:id="rId16" w:history="1">
        <w:r>
          <w:rPr>
            <w:rFonts w:ascii="Arial" w:eastAsia="Times New Roman" w:hAnsi="Arial" w:cs="Arial"/>
            <w:noProof/>
            <w:color w:val="0067C5"/>
            <w:sz w:val="17"/>
            <w:szCs w:val="17"/>
          </w:rPr>
          <w:drawing>
            <wp:inline distT="0" distB="0" distL="0" distR="0">
              <wp:extent cx="152400" cy="152400"/>
              <wp:effectExtent l="0" t="0" r="0" b="0"/>
              <wp:docPr id="3" name="Picture 3" descr="http://NetAppWWSales.MV.TreeHouseI.com/MVImages/sales_weekly/icon_podcast-16x16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http://NetAppWWSales.MV.TreeHouseI.com/MVImages/sales_weekly/icon_podcast-16x16.gif"/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  <w:rFonts w:ascii="Arial" w:eastAsia="Times New Roman" w:hAnsi="Arial" w:cs="Arial"/>
            <w:color w:val="0067C5"/>
            <w:sz w:val="17"/>
            <w:szCs w:val="17"/>
            <w:u w:val="none"/>
          </w:rPr>
          <w:t> </w:t>
        </w:r>
        <w:proofErr w:type="spellStart"/>
        <w:r>
          <w:rPr>
            <w:rStyle w:val="Hyperlink"/>
            <w:rFonts w:ascii="Arial" w:eastAsia="Times New Roman" w:hAnsi="Arial" w:cs="Arial"/>
            <w:color w:val="0067C5"/>
            <w:sz w:val="17"/>
            <w:szCs w:val="17"/>
            <w:u w:val="none"/>
          </w:rPr>
          <w:t>Podcast</w:t>
        </w:r>
        <w:proofErr w:type="spellEnd"/>
      </w:hyperlink>
      <w:r>
        <w:rPr>
          <w:rFonts w:ascii="Arial" w:eastAsia="Times New Roman" w:hAnsi="Arial" w:cs="Arial"/>
          <w:color w:val="454545"/>
          <w:sz w:val="17"/>
          <w:szCs w:val="17"/>
        </w:rPr>
        <w:t xml:space="preserve">   </w:t>
      </w:r>
      <w:hyperlink r:id="rId18" w:history="1">
        <w:r>
          <w:rPr>
            <w:rFonts w:ascii="Arial" w:eastAsia="Times New Roman" w:hAnsi="Arial" w:cs="Arial"/>
            <w:noProof/>
            <w:color w:val="0067C5"/>
            <w:sz w:val="17"/>
            <w:szCs w:val="17"/>
          </w:rPr>
          <w:drawing>
            <wp:inline distT="0" distB="0" distL="0" distR="0">
              <wp:extent cx="152400" cy="152400"/>
              <wp:effectExtent l="0" t="0" r="0" b="0"/>
              <wp:docPr id="2" name="Picture 2" descr="http://NetAppWWSales.MV.TreeHouseI.com/MVImages/sales_weekly/icon_headphones-16x16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http://NetAppWWSales.MV.TreeHouseI.com/MVImages/sales_weekly/icon_headphones-16x16.gif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  <w:rFonts w:ascii="Arial" w:eastAsia="Times New Roman" w:hAnsi="Arial" w:cs="Arial"/>
            <w:color w:val="0067C5"/>
            <w:sz w:val="17"/>
            <w:szCs w:val="17"/>
            <w:u w:val="none"/>
          </w:rPr>
          <w:t> Listen On Mobile</w:t>
        </w:r>
      </w:hyperlink>
      <w:r>
        <w:rPr>
          <w:rFonts w:ascii="Arial" w:eastAsia="Times New Roman" w:hAnsi="Arial" w:cs="Arial"/>
          <w:color w:val="454545"/>
          <w:sz w:val="17"/>
          <w:szCs w:val="17"/>
        </w:rPr>
        <w:t xml:space="preserve">   </w:t>
      </w:r>
      <w:hyperlink r:id="rId20" w:history="1">
        <w:r>
          <w:rPr>
            <w:rFonts w:ascii="Arial" w:eastAsia="Times New Roman" w:hAnsi="Arial" w:cs="Arial"/>
            <w:noProof/>
            <w:color w:val="0067C5"/>
            <w:sz w:val="17"/>
            <w:szCs w:val="17"/>
          </w:rPr>
          <w:drawing>
            <wp:inline distT="0" distB="0" distL="0" distR="0" wp14:anchorId="3A87931B" wp14:editId="7E23538A">
              <wp:extent cx="152400" cy="152400"/>
              <wp:effectExtent l="0" t="0" r="0" b="0"/>
              <wp:docPr id="1" name="Picture 1" descr="http://NetAppWWSales.MV.TreeHouseI.com/MVImages/sales_weekly/icon_rss-16x16.gi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http://NetAppWWSales.MV.TreeHouseI.com/MVImages/sales_weekly/icon_rss-16x16.gif"/>
                      <pic:cNvPicPr>
                        <a:picLocks noChangeAspect="1" noChangeArrowheads="1"/>
                      </pic:cNvPicPr>
                    </pic:nvPicPr>
                    <pic:blipFill>
                      <a:blip r:embed="rId1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  <w:rFonts w:ascii="Arial" w:eastAsia="Times New Roman" w:hAnsi="Arial" w:cs="Arial"/>
            <w:color w:val="0067C5"/>
            <w:sz w:val="17"/>
            <w:szCs w:val="17"/>
            <w:u w:val="none"/>
          </w:rPr>
          <w:t> Subscribe</w:t>
        </w:r>
      </w:hyperlink>
    </w:p>
    <w:sectPr w:rsidR="00960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E19"/>
    <w:rsid w:val="0096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E1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0E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E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E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E1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0E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E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E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93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5.gif"/><Relationship Id="rId18" Type="http://schemas.openxmlformats.org/officeDocument/2006/relationships/hyperlink" Target="http://thil.us/r/006/174819/2ufp7udhp52ncknidn7aaamexd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John.Schoen@netapp.com" TargetMode="External"/><Relationship Id="rId12" Type="http://schemas.openxmlformats.org/officeDocument/2006/relationships/hyperlink" Target="http://thil.us/r/003/174819/2ufp7udhp52ncknidn7aaamexd" TargetMode="External"/><Relationship Id="rId17" Type="http://schemas.openxmlformats.org/officeDocument/2006/relationships/image" Target="media/image7.gif"/><Relationship Id="rId2" Type="http://schemas.microsoft.com/office/2007/relationships/stylesWithEffects" Target="stylesWithEffects.xml"/><Relationship Id="rId16" Type="http://schemas.openxmlformats.org/officeDocument/2006/relationships/hyperlink" Target="http://thil.us/r/005/174819/2ufp7udhp52ncknidn7aaamexd" TargetMode="External"/><Relationship Id="rId20" Type="http://schemas.openxmlformats.org/officeDocument/2006/relationships/hyperlink" Target="http://thil.us/r/007/174819/2ufp7udhp52ncknidn7aaamexd" TargetMode="Externa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4.gif"/><Relationship Id="rId5" Type="http://schemas.openxmlformats.org/officeDocument/2006/relationships/image" Target="media/image1.jpeg"/><Relationship Id="rId15" Type="http://schemas.openxmlformats.org/officeDocument/2006/relationships/image" Target="media/image6.gif"/><Relationship Id="rId10" Type="http://schemas.openxmlformats.org/officeDocument/2006/relationships/hyperlink" Target="http://thil.us/r/002/174819/2ufp7udhp52ncknidn7aaamexd" TargetMode="External"/><Relationship Id="rId19" Type="http://schemas.openxmlformats.org/officeDocument/2006/relationships/image" Target="media/image8.gif"/><Relationship Id="rId4" Type="http://schemas.openxmlformats.org/officeDocument/2006/relationships/webSettings" Target="webSettings.xml"/><Relationship Id="rId9" Type="http://schemas.openxmlformats.org/officeDocument/2006/relationships/hyperlink" Target="http://thil.us/r/001/174819/2ufp7udhp52ncknidn7aaamexd" TargetMode="External"/><Relationship Id="rId14" Type="http://schemas.openxmlformats.org/officeDocument/2006/relationships/hyperlink" Target="http://thil.us/r/004/174819/2ufp7udhp52ncknidn7aaamex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Nixon, Mike</dc:creator>
  <cp:lastModifiedBy>Nixon, Mike</cp:lastModifiedBy>
  <cp:revision>1</cp:revision>
  <dcterms:created xsi:type="dcterms:W3CDTF">2014-09-23T21:38:00Z</dcterms:created>
  <dcterms:modified xsi:type="dcterms:W3CDTF">2014-09-23T21:39:00Z</dcterms:modified>
</cp:coreProperties>
</file>