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2336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after="120"/>
        <w:jc w:val="left"/>
      </w:pPr>
      <w:r>
        <w:rPr>
          <w:rFonts w:ascii="Times New Roman" w:hAnsi="Times New Roman"/>
          <w:b/>
          <w:sz w:val="20"/>
        </w:rPr>
        <w:t>Figure 1.</w:t>
      </w:r>
      <w:r>
        <w:rPr>
          <w:rFonts w:ascii="Times New Roman" w:hAnsi="Times New Roman"/>
          <w:sz w:val="20"/>
        </w:rPr>
        <w:t xml:space="preserve"> Architectural overview of gate-based quantum computation: (a) geometric Bloch sphere representation of a pure single-qubit state |ψ(θ, φ)⟩ = cos(θ/2)|0⟩ + exp(iφ)sin(θ/2)|1⟩; (b) canonical three-qubit quantum circuit illustrating computational-basis initialization, Hadamard superposition (H), two-qubit CNOT entanglement, parameterized single-qubit rotations Ry(θ1) and Rz(θ2), and projective measurement onto a classical bit register c3; and (c) four-tier hardware-to-algorithm execution stack linking physical qubit control pulses to intelligent computing applications.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