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023360" cy="4892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89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64" w:lineRule="auto" w:after="120"/>
        <w:jc w:val="left"/>
      </w:pPr>
      <w:r>
        <w:rPr>
          <w:rFonts w:ascii="Times New Roman" w:hAnsi="Times New Roman"/>
          <w:b/>
          <w:sz w:val="20"/>
        </w:rPr>
        <w:t>Figure 2.</w:t>
      </w:r>
      <w:r>
        <w:rPr>
          <w:rFonts w:ascii="Times New Roman" w:hAnsi="Times New Roman"/>
          <w:sz w:val="20"/>
        </w:rPr>
        <w:t xml:space="preserve"> End-to-end quantum algorithm design, compilation, error suppression, and execution workflow across noisy intermediate-scale quantum (NISQ) and fault-tolerant computing regimes. Solid arrows indicate forward synthesis and execution stages; dashed arrows indicate iterative variational parameter updates and hardware-aware compilation feedback.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