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after="120"/>
        <w:jc w:val="left"/>
      </w:pPr>
      <w:r>
        <w:rPr>
          <w:rFonts w:ascii="Times New Roman" w:hAnsi="Times New Roman"/>
          <w:b/>
          <w:sz w:val="20"/>
        </w:rPr>
        <w:t>Figure 4.</w:t>
      </w:r>
      <w:r>
        <w:rPr>
          <w:rFonts w:ascii="Times New Roman" w:hAnsi="Times New Roman"/>
          <w:sz w:val="20"/>
        </w:rPr>
        <w:t xml:space="preserve"> Comparative scaling and regime-selection framework for quantum and classical intelligent computing: (a) semi-logarithmic comparison of query/gate complexity log10(ops) versus register width n = log2(N) across unstructured classical search O(N), Grover search O(√N), sub-exponential number field sieve scaling, and Shor polynomial-time factoring O(n^3); and (b) structured decision matrix classifying problem regimes across classical baselines, NISQ hybrid heuristics, and fault-tolerant quantum algorithms.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