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023360" cy="4160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4160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64" w:lineRule="auto" w:after="120"/>
        <w:jc w:val="left"/>
      </w:pPr>
      <w:r>
        <w:rPr>
          <w:rFonts w:ascii="Times New Roman" w:hAnsi="Times New Roman"/>
          <w:b/>
          <w:sz w:val="20"/>
        </w:rPr>
        <w:t>Figure 3.</w:t>
      </w:r>
      <w:r>
        <w:rPr>
          <w:rFonts w:ascii="Times New Roman" w:hAnsi="Times New Roman"/>
          <w:sz w:val="20"/>
        </w:rPr>
        <w:t xml:space="preserve"> Closed-loop hybrid quantum–classical intelligent computing architecture. Classical input features x ∈ R^d undergo preprocessing and quantum state encoding U_Φ(x), followed by trainable parameterized layers U_var(θ) and shot-based observable estimation on the quantum processing unit (QPU), while a classical co-processor evaluates empirical loss L(θ) and updates parameters θ^(t+1) via parameter-shift gradients or derivative-free optimizers.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