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Author and Declaration Information</w:t>
      </w:r>
    </w:p>
    <w:p>
      <w:r>
        <w:t>Manuscript: Reciprocal-free divisors of prescribed order over finite fields and the saturation cost of cyclic quantum synchronizable codes</w:t>
      </w:r>
    </w:p>
    <w:p>
      <w:r>
        <w:t>Journal: Journal of Applied Mathematics and Computing</w:t>
      </w:r>
    </w:p>
    <w:p>
      <w:pPr>
        <w:pStyle w:val="Heading1"/>
      </w:pPr>
      <w:r>
        <w:t>1. Authors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#</w:t>
            </w:r>
          </w:p>
        </w:tc>
        <w:tc>
          <w:tcPr>
            <w:tcW w:type="dxa" w:w="1440"/>
          </w:tcPr>
          <w:p>
            <w:r>
              <w:t>Full name</w:t>
            </w:r>
          </w:p>
        </w:tc>
        <w:tc>
          <w:tcPr>
            <w:tcW w:type="dxa" w:w="1440"/>
          </w:tcPr>
          <w:p>
            <w:r>
              <w:t>Affiliation (dept., institution, city, country)</w:t>
            </w:r>
          </w:p>
        </w:tc>
        <w:tc>
          <w:tcPr>
            <w:tcW w:type="dxa" w:w="1440"/>
          </w:tcPr>
          <w:p>
            <w:r>
              <w:t>E-mail</w:t>
            </w:r>
          </w:p>
        </w:tc>
        <w:tc>
          <w:tcPr>
            <w:tcW w:type="dxa" w:w="1440"/>
          </w:tcPr>
          <w:p>
            <w:r>
              <w:t>ORCID</w:t>
            </w:r>
          </w:p>
        </w:tc>
        <w:tc>
          <w:tcPr>
            <w:tcW w:type="dxa" w:w="1440"/>
          </w:tcPr>
          <w:p>
            <w:r>
              <w:t>Corresponding?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[INSERT]</w:t>
            </w:r>
          </w:p>
        </w:tc>
        <w:tc>
          <w:tcPr>
            <w:tcW w:type="dxa" w:w="1440"/>
          </w:tcPr>
          <w:p>
            <w:r>
              <w:t>[INSERT]</w:t>
            </w:r>
          </w:p>
        </w:tc>
        <w:tc>
          <w:tcPr>
            <w:tcW w:type="dxa" w:w="1440"/>
          </w:tcPr>
          <w:p>
            <w:r>
              <w:t>[INSERT]</w:t>
            </w:r>
          </w:p>
        </w:tc>
        <w:tc>
          <w:tcPr>
            <w:tcW w:type="dxa" w:w="1440"/>
          </w:tcPr>
          <w:p>
            <w:r>
              <w:t>[INSERT]</w:t>
            </w:r>
          </w:p>
        </w:tc>
        <w:tc>
          <w:tcPr>
            <w:tcW w:type="dxa" w:w="1440"/>
          </w:tcPr>
          <w:p>
            <w:r>
              <w:t>[INSERT]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[INSERT]</w:t>
            </w:r>
          </w:p>
        </w:tc>
        <w:tc>
          <w:tcPr>
            <w:tcW w:type="dxa" w:w="1440"/>
          </w:tcPr>
          <w:p>
            <w:r>
              <w:t>[INSERT]</w:t>
            </w:r>
          </w:p>
        </w:tc>
        <w:tc>
          <w:tcPr>
            <w:tcW w:type="dxa" w:w="1440"/>
          </w:tcPr>
          <w:p>
            <w:r>
              <w:t>[INSERT]</w:t>
            </w:r>
          </w:p>
        </w:tc>
        <w:tc>
          <w:tcPr>
            <w:tcW w:type="dxa" w:w="1440"/>
          </w:tcPr>
          <w:p>
            <w:r>
              <w:t>[INSERT]</w:t>
            </w:r>
          </w:p>
        </w:tc>
        <w:tc>
          <w:tcPr>
            <w:tcW w:type="dxa" w:w="1440"/>
          </w:tcPr>
          <w:p>
            <w:r>
              <w:t>[INSERT]</w:t>
            </w:r>
          </w:p>
        </w:tc>
      </w:tr>
    </w:tbl>
    <w:p>
      <w:pPr>
        <w:pStyle w:val="Heading1"/>
      </w:pPr>
      <w:r>
        <w:t>2. Statements and Declarations</w:t>
      </w:r>
    </w:p>
    <w:p>
      <w:r>
        <w:rPr>
          <w:b/>
        </w:rPr>
        <w:t xml:space="preserve">Funding: </w:t>
      </w:r>
      <w:r>
        <w:t>[INSERT; must match the funding entered in Editorial Manager]</w:t>
      </w:r>
    </w:p>
    <w:p>
      <w:r>
        <w:rPr>
          <w:b/>
        </w:rPr>
        <w:t xml:space="preserve">Competing interests (last 3 years): </w:t>
      </w:r>
      <w:r>
        <w:t>[INSERT]</w:t>
      </w:r>
    </w:p>
    <w:p>
      <w:r>
        <w:rPr>
          <w:b/>
        </w:rPr>
        <w:t xml:space="preserve">Ethics approval / consent to participate / consent for publication: </w:t>
      </w:r>
      <w:r>
        <w:t>Not applicable.</w:t>
      </w:r>
    </w:p>
    <w:p>
      <w:r>
        <w:rPr>
          <w:b/>
        </w:rPr>
        <w:t xml:space="preserve">Data availability: </w:t>
      </w:r>
      <w:r>
        <w:t>No datasets were generated or analysed; all values are reproducible with Online Resource 2. [AUTHOR TO CONFIRM]</w:t>
      </w:r>
    </w:p>
    <w:p>
      <w:r>
        <w:rPr>
          <w:b/>
        </w:rPr>
        <w:t xml:space="preserve">Code availability: </w:t>
      </w:r>
      <w:r>
        <w:t>Online Resource 2 (ESM_2.zip). [INSERT REPOSITORY LINK IF ANY]</w:t>
      </w:r>
    </w:p>
    <w:p>
      <w:r>
        <w:rPr>
          <w:b/>
        </w:rPr>
        <w:t xml:space="preserve">Author contributions: </w:t>
      </w:r>
      <w:r>
        <w:t>[INSERT]</w:t>
      </w:r>
    </w:p>
    <w:p>
      <w:r>
        <w:rPr>
          <w:b/>
        </w:rPr>
        <w:t xml:space="preserve">Use of AI tools (Springer Nature policy): </w:t>
      </w:r>
      <w:r>
        <w:t>[AUTHOR TO COMPLETE TRUTHFULLY: describe any use of large language models; LLMs cannot be listed as authors.]</w:t>
      </w:r>
    </w:p>
    <w:p>
      <w:r>
        <w:rPr>
          <w:b/>
        </w:rPr>
        <w:t xml:space="preserve">Acknowledgements: </w:t>
      </w:r>
      <w:r>
        <w:t>[INSERT OR DELETE]</w:t>
      </w:r>
    </w:p>
    <w:p>
      <w:pPr>
        <w:pStyle w:val="Heading1"/>
      </w:pPr>
      <w:r>
        <w:t>3. Submission metadata</w:t>
      </w:r>
    </w:p>
    <w:p>
      <w:r>
        <w:t>Keywords: Finite fields; Polynomial order; Reciprocal polynomials; Cyclic codes; Cyclotomic cosets; Quantum synchronizable codes</w:t>
      </w:r>
    </w:p>
    <w:p>
      <w:r>
        <w:t>MSC 2020: 11T06 (primary); 11T71, 94B15, 81P70, 11A07 (secondary)</w:t>
      </w:r>
    </w:p>
    <w:p>
      <w:r>
        <w:t>Note: all bracketed fields are placeholders; no author information has been invented.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