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A365D"/>
            <w:tcMar>
              <w:top w:w="200" w:type="dxa"/>
              <w:bottom w:w="200" w:type="dxa"/>
              <w:left w:w="240" w:type="dxa"/>
              <w:right w:w="240" w:type="dxa"/>
            </w:tcMar>
          </w:tcPr>
          <w:p>
            <w:pPr>
              <w:jc w:val="left"/>
            </w:pPr>
            <w:r>
              <w:rPr>
                <w:rFonts w:ascii="Arial" w:hAnsi="Arial"/>
                <w:b/>
                <w:color w:val="93C5FD"/>
                <w:sz w:val="18"/>
              </w:rPr>
              <w:t>SKILLWALLET MERN FULL-STACK SUBMISSION PACKAGE</w:t>
              <w:br/>
            </w:r>
            <w:r>
              <w:rPr>
                <w:rFonts w:ascii="Arial" w:hAnsi="Arial"/>
                <w:b/>
                <w:color w:val="FFFFFF"/>
                <w:sz w:val="26"/>
              </w:rPr>
              <w:t>EPIC 4: DATABASE DEVELOPMENT</w:t>
              <w:br/>
            </w:r>
            <w:r>
              <w:rPr>
                <w:rFonts w:ascii="Arial" w:hAnsi="Arial"/>
                <w:b/>
                <w:color w:val="FFFFFF"/>
                <w:sz w:val="32"/>
              </w:rPr>
              <w:t>TASK 12: CONFIGURE MONGOOSE</w:t>
            </w:r>
          </w:p>
        </w:tc>
      </w:tr>
    </w:tbl>
    <w:p>
      <w:pPr>
        <w:spacing w:before="160" w:after="280"/>
      </w:pPr>
      <w:r>
        <w:rPr>
          <w:b/>
          <w:color w:val="1A365D"/>
        </w:rPr>
        <w:t xml:space="preserve">Project: </w:t>
      </w:r>
      <w:r>
        <w:t xml:space="preserve">HotelPro - Complete hotel booking and management solution (Brand: RoomsForUse)  |  </w:t>
      </w:r>
      <w:r>
        <w:rPr>
          <w:b/>
          <w:color w:val="16A34A"/>
        </w:rPr>
        <w:t xml:space="preserve">Status: </w:t>
      </w:r>
      <w:r>
        <w:t>COMPLETED (100% Verified)</w:t>
      </w:r>
    </w:p>
    <w:p>
      <w:pPr>
        <w:spacing w:before="280" w:after="120"/>
      </w:pPr>
      <w:r>
        <w:rPr>
          <w:rFonts w:ascii="Arial" w:hAnsi="Arial"/>
          <w:b/>
          <w:color w:val="1A365D"/>
          <w:sz w:val="26"/>
        </w:rPr>
        <w:t>1. Mongoose ODM Configuration &amp; Architectural Role</w:t>
      </w:r>
    </w:p>
    <w:p>
      <w:pPr>
        <w:spacing w:after="100" w:line="276" w:lineRule="auto"/>
      </w:pPr>
      <w:r>
        <w:rPr>
          <w:rFonts w:ascii="Calibri" w:hAnsi="Calibri"/>
          <w:color w:val="1E293B"/>
          <w:sz w:val="21"/>
        </w:rPr>
        <w:t>Mongoose serves as the Object Data Modeling (ODM) library for MongoDB in the HotelPro application. It translates raw BSON documents into rich JavaScript objects, enforces strict type validation, supports automated lifecycle hooks (timestamps), and enables model population across foreign key references.</w:t>
      </w:r>
    </w:p>
    <w:p>
      <w:pPr>
        <w:spacing w:before="280" w:after="120"/>
      </w:pPr>
      <w:r>
        <w:rPr>
          <w:rFonts w:ascii="Arial" w:hAnsi="Arial"/>
          <w:b/>
          <w:color w:val="1A365D"/>
          <w:sz w:val="26"/>
        </w:rPr>
        <w:t>2. Installation &amp; Driver Dependencies</w:t>
      </w:r>
    </w:p>
    <w:p>
      <w:pPr>
        <w:spacing w:after="100" w:line="276" w:lineRule="auto"/>
      </w:pPr>
      <w:r>
        <w:rPr>
          <w:rFonts w:ascii="Calibri" w:hAnsi="Calibri"/>
          <w:color w:val="1E293B"/>
          <w:sz w:val="21"/>
        </w:rPr>
        <w:t>Mongoose is installed within the backend project environment via npm:</w:t>
      </w:r>
    </w:p>
    <w:p>
      <w:pPr>
        <w:spacing w:before="120" w:after="40"/>
      </w:pPr>
      <w:r>
        <w:rPr>
          <w:rFonts w:ascii="Arial" w:hAnsi="Arial"/>
          <w:b/>
          <w:color w:val="64748B"/>
          <w:sz w:val="18"/>
        </w:rPr>
        <w:t>💻 Mongoose Installation Command</w:t>
      </w:r>
    </w:p>
    <w:tbl>
      <w:tblPr>
        <w:tblW w:type="auto" w:w="0"/>
        <w:jc w:val="center"/>
        <w:tblLook w:firstColumn="1" w:firstRow="1" w:lastColumn="0" w:lastRow="0" w:noHBand="0" w:noVBand="1" w:val="04A0"/>
      </w:tblPr>
      <w:tblGrid>
        <w:gridCol w:w="10080"/>
      </w:tblGrid>
      <w:tr>
        <w:tc>
          <w:tcPr>
            <w:tcW w:type="dxa" w:w="10080"/>
            <w:shd w:val="clear" w:color="auto" w:fill="F1F5F9"/>
            <w:tcMar>
              <w:top w:w="120" w:type="dxa"/>
              <w:bottom w:w="120" w:type="dxa"/>
              <w:left w:w="150" w:type="dxa"/>
              <w:right w:w="150" w:type="dxa"/>
            </w:tcMar>
          </w:tcPr>
          <w:p>
            <w:pPr>
              <w:spacing w:after="0" w:line="252" w:lineRule="auto"/>
            </w:pPr>
            <w:r>
              <w:rPr>
                <w:rFonts w:ascii="Consolas" w:hAnsi="Consolas"/>
                <w:color w:val="0F172A"/>
                <w:sz w:val="17"/>
              </w:rPr>
              <w:t>npm install mongoose</w:t>
            </w:r>
          </w:p>
        </w:tc>
      </w:tr>
    </w:tbl>
    <w:p>
      <w:pPr>
        <w:spacing w:after="80"/>
      </w:pPr>
    </w:p>
    <w:p>
      <w:pPr>
        <w:spacing w:before="280" w:after="120"/>
      </w:pPr>
      <w:r>
        <w:rPr>
          <w:rFonts w:ascii="Arial" w:hAnsi="Arial"/>
          <w:b/>
          <w:color w:val="1A365D"/>
          <w:sz w:val="26"/>
        </w:rPr>
        <w:t>3. Mongoose Connection Configuration Architecture</w:t>
      </w:r>
    </w:p>
    <w:p>
      <w:pPr>
        <w:spacing w:after="100" w:line="276" w:lineRule="auto"/>
      </w:pPr>
      <w:r>
        <w:rPr>
          <w:rFonts w:ascii="Calibri" w:hAnsi="Calibri"/>
          <w:color w:val="1E293B"/>
          <w:sz w:val="21"/>
        </w:rPr>
        <w:t>In modern Node.js environments (v18+) and Mongoose v8+, legacy connection flags such as `useNewUrlParser` and `useUnifiedTopology` have been deprecated and are enabled by default by the underlying MongoDB Node Driver v4.0+. The configuration file in `server/config/db.js` dynamically extracts the connection string from process environment variables with a resilient local fallback.</w:t>
      </w:r>
    </w:p>
    <w:p>
      <w:pPr>
        <w:spacing w:before="120" w:after="40"/>
      </w:pPr>
      <w:r>
        <w:rPr>
          <w:rFonts w:ascii="Arial" w:hAnsi="Arial"/>
          <w:b/>
          <w:color w:val="64748B"/>
          <w:sz w:val="18"/>
        </w:rPr>
        <w:t>💻 Mongoose Configuration Pattern</w:t>
      </w:r>
    </w:p>
    <w:tbl>
      <w:tblPr>
        <w:tblW w:type="auto" w:w="0"/>
        <w:jc w:val="center"/>
        <w:tblLook w:firstColumn="1" w:firstRow="1" w:lastColumn="0" w:lastRow="0" w:noHBand="0" w:noVBand="1" w:val="04A0"/>
      </w:tblPr>
      <w:tblGrid>
        <w:gridCol w:w="10080"/>
      </w:tblGrid>
      <w:tr>
        <w:tc>
          <w:tcPr>
            <w:tcW w:type="dxa" w:w="10080"/>
            <w:shd w:val="clear" w:color="auto" w:fill="F1F5F9"/>
            <w:tcMar>
              <w:top w:w="120" w:type="dxa"/>
              <w:bottom w:w="120" w:type="dxa"/>
              <w:left w:w="150" w:type="dxa"/>
              <w:right w:w="150" w:type="dxa"/>
            </w:tcMar>
          </w:tcPr>
          <w:p>
            <w:pPr>
              <w:spacing w:after="0" w:line="252" w:lineRule="auto"/>
            </w:pPr>
            <w:r>
              <w:rPr>
                <w:rFonts w:ascii="Consolas" w:hAnsi="Consolas"/>
                <w:color w:val="0F172A"/>
                <w:sz w:val="17"/>
              </w:rPr>
              <w:t>const mongoose = require("mongoose");</w:t>
              <w:br/>
              <w:br/>
              <w:t>const connectToMongo = async () =&gt; {</w:t>
              <w:br/>
              <w:t xml:space="preserve">  const mongoURI = process.env.MONGO_URI || "mongodb://127.0.0.1:27017/hotelpro";</w:t>
              <w:br/>
              <w:t xml:space="preserve">  try {</w:t>
              <w:br/>
              <w:t xml:space="preserve">    await mongoose.connect(mongoURI);</w:t>
              <w:br/>
              <w:t xml:space="preserve">    console.log("Connected to MongoDB successfully");</w:t>
              <w:br/>
              <w:t xml:space="preserve">  } catch (error) {</w:t>
              <w:br/>
              <w:t xml:space="preserve">    console.error("X MongoDB connection error:", error.message);</w:t>
              <w:br/>
              <w:t xml:space="preserve">    setTimeout(connectToMongo, 5000);</w:t>
              <w:br/>
              <w:t xml:space="preserve">  }</w:t>
              <w:br/>
              <w:t>};</w:t>
              <w:br/>
              <w:br/>
              <w:t>module.exports = connectToMongo;</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