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v4kp3e2lip1" w:id="0"/>
      <w:bookmarkEnd w:id="0"/>
      <w:r w:rsidDel="00000000" w:rsidR="00000000" w:rsidRPr="00000000">
        <w:rPr>
          <w:rFonts w:ascii="Times New Roman" w:cs="Times New Roman" w:eastAsia="Times New Roman" w:hAnsi="Times New Roman"/>
          <w:b w:val="1"/>
          <w:bCs w:val="1"/>
          <w:color w:val="000000"/>
          <w:sz w:val="26"/>
          <w:szCs w:val="26"/>
          <w:rtl w:val="0"/>
        </w:rPr>
        <w:t xml:space="preserve">Design Assumptions</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68w7g9mxw1ys" w:id="1"/>
      <w:bookmarkEnd w:id="1"/>
      <w:r w:rsidDel="00000000" w:rsidR="00000000" w:rsidRPr="00000000">
        <w:rPr>
          <w:rFonts w:ascii="Times New Roman" w:cs="Times New Roman" w:eastAsia="Times New Roman" w:hAnsi="Times New Roman"/>
          <w:color w:val="000000"/>
          <w:sz w:val="24"/>
          <w:szCs w:val="24"/>
          <w:rtl w:val="0"/>
        </w:rPr>
        <w:t xml:space="preserve">The driver's core specs come from the Keya operating manual for the dual-channel family (24V class, 30A continuous with transient up to 50A for 30s, 2 channels, 190mm x 130mm x 40mm, 800g). The data the simulator reports and the fault conditions it checks for are based on the documented behavior in that manual, including the overheating protection that reduces output at 70C and stops at 80C, plus under/over voltage, short circuit, and power level turn-off. The simulator outputs actual RS232-style byte packets rather than clean numbers, which means the monitoring code parses data exactly as it would from real hardware and would transfer to a physical driver by just swapping the data source. Normal operating ranges (motor temp, RPM, voltage) are reasonable estimates for a cleaning robot drive motor, and faults are injected randomly each run to mimic the variability of real field conditions.</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digb1xqc0vq" w:id="2"/>
      <w:bookmarkEnd w:id="2"/>
      <w:r w:rsidDel="00000000" w:rsidR="00000000" w:rsidRPr="00000000">
        <w:rPr>
          <w:rFonts w:ascii="Times New Roman" w:cs="Times New Roman" w:eastAsia="Times New Roman" w:hAnsi="Times New Roman"/>
          <w:b w:val="1"/>
          <w:bCs w:val="1"/>
          <w:color w:val="000000"/>
          <w:sz w:val="26"/>
          <w:szCs w:val="26"/>
          <w:rtl w:val="0"/>
        </w:rPr>
        <w:t xml:space="preserve">Driver Comparison</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4.0801644398766"/>
        <w:gridCol w:w="2010.524152106886"/>
        <w:gridCol w:w="2284.6865364850973"/>
        <w:gridCol w:w="1433.3401849948611"/>
        <w:gridCol w:w="1837.3689619732786"/>
        <w:tblGridChange w:id="0">
          <w:tblGrid>
            <w:gridCol w:w="1794.0801644398766"/>
            <w:gridCol w:w="2010.524152106886"/>
            <w:gridCol w:w="2284.6865364850973"/>
            <w:gridCol w:w="1433.3401849948611"/>
            <w:gridCol w:w="1837.368961973278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Keya KBL2430-2E (current)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Roboteq SBL2360(T)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ODrive Pro / 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Generic LKBS48302</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12-24V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60V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10-55V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40-80A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30A/ch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RS232, 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RS232, USB, CAN, RS485, optional Ethernet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RS232, PWM, CAN, 0-5V</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temp, RPM, current, faults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telemetry + scripting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telemetry via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temp, current, faults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 (exact unpublished)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x 83 x 25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x 65 mm (Pro)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Keya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Aluminum housing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Conduction plate, fanless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 compact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Aluminum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specified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IP51 NEMA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(bare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specified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Keya (China)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Roboteq (USA, Nidec)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ODrive (open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(China)</w:t>
            </w:r>
          </w:p>
        </w:tc>
      </w:tr>
    </w:tbl>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all the above, the Roboteq SBL2360 is the best as a replacement. It matches the </w:t>
      </w:r>
      <w:r w:rsidDel="00000000" w:rsidR="00000000" w:rsidRPr="00000000">
        <w:rPr>
          <w:rFonts w:ascii="Times New Roman" w:cs="Times New Roman" w:eastAsia="Times New Roman" w:hAnsi="Times New Roman"/>
          <w:sz w:val="24"/>
          <w:szCs w:val="24"/>
          <w:rtl w:val="0"/>
        </w:rPr>
        <w:t xml:space="preserve">Keya</w:t>
      </w:r>
      <w:r w:rsidDel="00000000" w:rsidR="00000000" w:rsidRPr="00000000">
        <w:rPr>
          <w:rFonts w:ascii="Times New Roman" w:cs="Times New Roman" w:eastAsia="Times New Roman" w:hAnsi="Times New Roman"/>
          <w:sz w:val="24"/>
          <w:szCs w:val="24"/>
          <w:rtl w:val="0"/>
        </w:rPr>
        <w:t xml:space="preserve"> where it counts, with the same dual-channel layout and the same 30A per channel, but it improves on almost everything around those core specs. It has a published IP51 weather rating that suits a robot working outdoors, a documented compact footprint of 123 x 83 x 25 mm, fanless conduction cooling, and richer telemetry with proper tooling for tuning and monitoring. It also keeps RS232 alongside CAN and USB, so the monitoring code I already built would carry over with very little change. The main trade-off is cost since the Roboteq controllers are more expensive than the Keya.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