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7375E"/>
          <w:sz w:val="42"/>
        </w:rPr>
        <w:t>README - AIR SecOps Tagging Playbook</w:t>
      </w:r>
    </w:p>
    <w:p>
      <w:pPr>
        <w:spacing w:after="160"/>
        <w:jc w:val="center"/>
      </w:pPr>
      <w:r>
        <w:rPr>
          <w:rFonts w:ascii="Aptos" w:hAnsi="Aptos"/>
          <w:color w:val="5B6978"/>
          <w:sz w:val="21"/>
        </w:rPr>
        <w:t>Deployment and usage context for GitHub repository upload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968"/>
            <w:vAlign w:val="center"/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4968"/>
            <w:vAlign w:val="center"/>
            <w:shd w:fill="F7FB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AIR Secops Playbook.json</w:t>
            </w:r>
          </w:p>
        </w:tc>
      </w:tr>
      <w:tr>
        <w:tc>
          <w:tcPr>
            <w:tcW w:type="dxa" w:w="4968"/>
            <w:vAlign w:val="center"/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4968"/>
            <w:vAlign w:val="center"/>
            <w:shd w:fill="F7FB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Logic App ARM template that tags Sentinel incidents with "Secops" when Microsoft Defender investigation states indicate analyst intervention may be required.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/>
          <w:b/>
          <w:color w:val="1F4E78"/>
          <w:sz w:val="32"/>
        </w:rPr>
        <w:t>Overview</w:t>
      </w:r>
    </w:p>
    <w:p>
      <w:pPr>
        <w:spacing w:after="100"/>
      </w:pPr>
      <w:r>
        <w:rPr>
          <w:rFonts w:ascii="Aptos" w:hAnsi="Aptos"/>
          <w:color w:val="222222"/>
          <w:sz w:val="21"/>
        </w:rPr>
        <w:t>This repository contains an ARM template for a Microsoft Sentinel Logic App playbook. The workflow is triggered on incident creation, inspects the alerts attached to that incident, checks investigation-related fields from SecurityAlert records in Log Analytics, and adds the “Secops” tag when a qualifying state is identified.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F4E78"/>
          <w:sz w:val="32"/>
        </w:rPr>
        <w:t>What the playbook does</w:t>
      </w:r>
    </w:p>
    <w:p>
      <w:pPr>
        <w:pStyle w:val="ListBullet"/>
        <w:spacing w:after="20"/>
      </w:pPr>
      <w:r>
        <w:rPr>
          <w:rFonts w:ascii="Aptos" w:hAnsi="Aptos"/>
          <w:sz w:val="21"/>
        </w:rPr>
        <w:t>Triggers when a Microsoft Sentinel incident is created.</w:t>
      </w:r>
    </w:p>
    <w:p>
      <w:pPr>
        <w:pStyle w:val="ListBullet"/>
        <w:spacing w:after="20"/>
      </w:pPr>
      <w:r>
        <w:rPr>
          <w:rFonts w:ascii="Aptos" w:hAnsi="Aptos"/>
          <w:sz w:val="21"/>
        </w:rPr>
        <w:t>Retrieves associated alerts from the incident payload.</w:t>
      </w:r>
    </w:p>
    <w:p>
      <w:pPr>
        <w:pStyle w:val="ListBullet"/>
        <w:spacing w:after="20"/>
      </w:pPr>
      <w:r>
        <w:rPr>
          <w:rFonts w:ascii="Aptos" w:hAnsi="Aptos"/>
          <w:sz w:val="21"/>
        </w:rPr>
        <w:t>Runs a KQL query against the SecurityAlert table in the target Log Analytics workspace.</w:t>
      </w:r>
    </w:p>
    <w:p>
      <w:pPr>
        <w:pStyle w:val="ListBullet"/>
        <w:spacing w:after="20"/>
      </w:pPr>
      <w:r>
        <w:rPr>
          <w:rFonts w:ascii="Aptos" w:hAnsi="Aptos"/>
          <w:sz w:val="21"/>
        </w:rPr>
        <w:t>Determines an effective investigation state by reading ExtendedProperties values.</w:t>
      </w:r>
    </w:p>
    <w:p>
      <w:pPr>
        <w:pStyle w:val="ListBullet"/>
        <w:spacing w:after="20"/>
      </w:pPr>
      <w:r>
        <w:rPr>
          <w:rFonts w:ascii="Aptos" w:hAnsi="Aptos"/>
          <w:sz w:val="21"/>
        </w:rPr>
        <w:t>Adds the “Secops” tag to the incident when a qualifying state is present.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F4E78"/>
          <w:sz w:val="32"/>
        </w:rPr>
        <w:t>Supported investigation states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880"/>
        <w:gridCol w:w="3600"/>
      </w:tblGrid>
      <w:tr>
        <w:tc>
          <w:tcPr>
            <w:tcW w:type="dxa" w:w="3312"/>
            <w:vAlign w:val="center"/>
            <w:shd w:fill="4472C4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Category 1</w:t>
            </w:r>
          </w:p>
        </w:tc>
        <w:tc>
          <w:tcPr>
            <w:tcW w:type="dxa" w:w="3312"/>
            <w:vAlign w:val="center"/>
            <w:shd w:fill="4472C4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Category 2</w:t>
            </w:r>
          </w:p>
        </w:tc>
        <w:tc>
          <w:tcPr>
            <w:tcW w:type="dxa" w:w="3312"/>
            <w:vAlign w:val="center"/>
            <w:shd w:fill="4472C4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Category 3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9"/>
              </w:rPr>
              <w:t>TerminatedBySystem</w:t>
            </w:r>
          </w:p>
        </w:tc>
        <w:tc>
          <w:tcPr>
            <w:tcW w:type="dxa" w:w="3312"/>
            <w:vAlign w:val="center"/>
            <w:shd w:fill="F8FBFD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9"/>
              </w:rPr>
              <w:t>TerminatedByUser</w:t>
            </w:r>
          </w:p>
        </w:tc>
        <w:tc>
          <w:tcPr>
            <w:tcW w:type="dxa" w:w="3312"/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9"/>
              </w:rPr>
              <w:t>Failed</w:t>
            </w:r>
          </w:p>
        </w:tc>
      </w:tr>
      <w:tr>
        <w:tc>
          <w:tcPr>
            <w:tcW w:type="dxa" w:w="3312"/>
            <w:vAlign w:val="center"/>
            <w:shd w:fill="F8FBFD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9"/>
              </w:rPr>
              <w:t>PartiallyRemediated</w:t>
            </w:r>
          </w:p>
        </w:tc>
        <w:tc>
          <w:tcPr>
            <w:tcW w:type="dxa" w:w="3312"/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9"/>
              </w:rPr>
              <w:t>PendingResource</w:t>
            </w:r>
          </w:p>
        </w:tc>
        <w:tc>
          <w:tcPr>
            <w:tcW w:type="dxa" w:w="3312"/>
            <w:vAlign w:val="center"/>
            <w:shd w:fill="F8FBFD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9"/>
              </w:rPr>
              <w:t>PendingApproval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9"/>
              </w:rPr>
              <w:t>PendingAction</w:t>
            </w:r>
          </w:p>
        </w:tc>
        <w:tc>
          <w:tcPr>
            <w:tcW w:type="dxa" w:w="3312"/>
            <w:vAlign w:val="center"/>
            <w:shd w:fill="F8FBFD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9"/>
              </w:rPr>
              <w:t>Pending</w:t>
            </w:r>
          </w:p>
        </w:tc>
        <w:tc>
          <w:tcPr>
            <w:tcW w:type="dxa" w:w="3312"/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9"/>
              </w:rPr>
              <w:t>Result: add tag “Secops”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/>
          <w:b/>
          <w:color w:val="1F4E78"/>
          <w:sz w:val="32"/>
        </w:rPr>
        <w:t>Architecture flow</w:t>
      </w:r>
    </w:p>
    <w:p>
      <w:pPr>
        <w:pStyle w:val="ListNumber"/>
        <w:spacing w:after="20"/>
      </w:pPr>
      <w:r>
        <w:rPr>
          <w:rFonts w:ascii="Aptos" w:hAnsi="Aptos"/>
          <w:sz w:val="21"/>
        </w:rPr>
        <w:t>Microsoft Sentinel Incident Trigger</w:t>
      </w:r>
    </w:p>
    <w:p>
      <w:pPr>
        <w:pStyle w:val="ListNumber"/>
        <w:spacing w:after="20"/>
      </w:pPr>
      <w:r>
        <w:rPr>
          <w:rFonts w:ascii="Aptos" w:hAnsi="Aptos"/>
          <w:sz w:val="21"/>
        </w:rPr>
        <w:t>Get Associated Alerts</w:t>
      </w:r>
    </w:p>
    <w:p>
      <w:pPr>
        <w:pStyle w:val="ListNumber"/>
        <w:spacing w:after="20"/>
      </w:pPr>
      <w:r>
        <w:rPr>
          <w:rFonts w:ascii="Aptos" w:hAnsi="Aptos"/>
          <w:sz w:val="21"/>
        </w:rPr>
        <w:t>Run KQL Query on SecurityAlert</w:t>
      </w:r>
    </w:p>
    <w:p>
      <w:pPr>
        <w:pStyle w:val="ListNumber"/>
        <w:spacing w:after="20"/>
      </w:pPr>
      <w:r>
        <w:rPr>
          <w:rFonts w:ascii="Aptos" w:hAnsi="Aptos"/>
          <w:sz w:val="21"/>
        </w:rPr>
        <w:t>Evaluate Investigation State</w:t>
      </w:r>
    </w:p>
    <w:p>
      <w:pPr>
        <w:pStyle w:val="ListNumber"/>
        <w:spacing w:after="20"/>
      </w:pPr>
      <w:r>
        <w:rPr>
          <w:rFonts w:ascii="Aptos" w:hAnsi="Aptos"/>
          <w:sz w:val="21"/>
        </w:rPr>
        <w:t>Condition Check</w:t>
      </w:r>
    </w:p>
    <w:p>
      <w:pPr>
        <w:pStyle w:val="ListNumber"/>
        <w:spacing w:after="20"/>
      </w:pPr>
      <w:r>
        <w:rPr>
          <w:rFonts w:ascii="Aptos" w:hAnsi="Aptos"/>
          <w:sz w:val="21"/>
        </w:rPr>
        <w:t>Update Incident with “Secops” tag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F4E78"/>
          <w:sz w:val="32"/>
        </w:rPr>
        <w:t>Deployment prerequisites</w:t>
      </w:r>
    </w:p>
    <w:p>
      <w:pPr>
        <w:pStyle w:val="ListBullet"/>
        <w:spacing w:after="20"/>
      </w:pPr>
      <w:r>
        <w:rPr>
          <w:rFonts w:ascii="Aptos" w:hAnsi="Aptos"/>
          <w:sz w:val="21"/>
        </w:rPr>
        <w:t>Microsoft Sentinel enabled Log Analytics workspace</w:t>
      </w:r>
    </w:p>
    <w:p>
      <w:pPr>
        <w:pStyle w:val="ListBullet"/>
        <w:spacing w:after="20"/>
      </w:pPr>
      <w:r>
        <w:rPr>
          <w:rFonts w:ascii="Aptos" w:hAnsi="Aptos"/>
          <w:sz w:val="21"/>
        </w:rPr>
        <w:t>Permission to deploy Logic Apps and API connections in the target resource group</w:t>
      </w:r>
    </w:p>
    <w:p>
      <w:pPr>
        <w:pStyle w:val="ListBullet"/>
        <w:spacing w:after="20"/>
      </w:pPr>
      <w:r>
        <w:rPr>
          <w:rFonts w:ascii="Aptos" w:hAnsi="Aptos"/>
          <w:sz w:val="21"/>
        </w:rPr>
        <w:t>Access to Azure Sentinel and Azure Monitor Logs managed API connections</w:t>
      </w:r>
    </w:p>
    <w:p>
      <w:pPr>
        <w:pStyle w:val="ListBullet"/>
        <w:spacing w:after="20"/>
      </w:pPr>
      <w:r>
        <w:rPr>
          <w:rFonts w:ascii="Aptos" w:hAnsi="Aptos"/>
          <w:sz w:val="21"/>
        </w:rPr>
        <w:t>Managed identity role assignments for workspace access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F4E78"/>
          <w:sz w:val="32"/>
        </w:rPr>
        <w:t>Required connections and permissions</w:t>
      </w:r>
    </w:p>
    <w:p>
      <w:pPr>
        <w:spacing w:after="100"/>
      </w:pPr>
      <w:r>
        <w:rPr>
          <w:rFonts w:ascii="Aptos" w:hAnsi="Aptos"/>
          <w:color w:val="222222"/>
          <w:sz w:val="21"/>
        </w:rPr>
        <w:t>The template creates Azure Sentinel and Azure Monitor Logs API connections. The Logic App managed identity should be granted the required workspace-level permissions before production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048"/>
      </w:tblGrid>
      <w:tr>
        <w:tc>
          <w:tcPr>
            <w:tcW w:type="dxa" w:w="4968"/>
            <w:vAlign w:val="center"/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Permission / Role</w:t>
            </w:r>
          </w:p>
        </w:tc>
        <w:tc>
          <w:tcPr>
            <w:tcW w:type="dxa" w:w="4968"/>
            <w:vAlign w:val="center"/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Scope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Microsoft Sentinel Contributor / Responder</w:t>
            </w:r>
          </w:p>
        </w:tc>
        <w:tc>
          <w:tcPr>
            <w:tcW w:type="dxa" w:w="6048"/>
            <w:vAlign w:val="center"/>
            <w:shd w:fill="F7FB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Microsoft Sentinel workspace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Log Analytics Reader</w:t>
            </w:r>
          </w:p>
        </w:tc>
        <w:tc>
          <w:tcPr>
            <w:tcW w:type="dxa" w:w="6048"/>
            <w:vAlign w:val="center"/>
            <w:shd w:fill="F7FB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Log Analytics workspace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Logic App Contributor (optional)</w:t>
            </w:r>
          </w:p>
        </w:tc>
        <w:tc>
          <w:tcPr>
            <w:tcW w:type="dxa" w:w="6048"/>
            <w:vAlign w:val="center"/>
            <w:shd w:fill="F7FB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Resource group for management operations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/>
          <w:b/>
          <w:color w:val="1F4E78"/>
          <w:sz w:val="32"/>
        </w:rPr>
        <w:t>Key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968"/>
            <w:vAlign w:val="center"/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968"/>
            <w:vAlign w:val="center"/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PlaybookName</w:t>
            </w:r>
          </w:p>
        </w:tc>
        <w:tc>
          <w:tcPr>
            <w:tcW w:type="dxa" w:w="6480"/>
            <w:vAlign w:val="center"/>
            <w:shd w:fill="F7FB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Name of the Logic App playbook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Location</w:t>
            </w:r>
          </w:p>
        </w:tc>
        <w:tc>
          <w:tcPr>
            <w:tcW w:type="dxa" w:w="6480"/>
            <w:vAlign w:val="center"/>
            <w:shd w:fill="F7FB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Azure region used for deployment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WorkspaceName</w:t>
            </w:r>
          </w:p>
        </w:tc>
        <w:tc>
          <w:tcPr>
            <w:tcW w:type="dxa" w:w="6480"/>
            <w:vAlign w:val="center"/>
            <w:shd w:fill="F7FB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Target Log Analytics workspace name for KQL execution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WorkspaceResourceGroup</w:t>
            </w:r>
          </w:p>
        </w:tc>
        <w:tc>
          <w:tcPr>
            <w:tcW w:type="dxa" w:w="6480"/>
            <w:vAlign w:val="center"/>
            <w:shd w:fill="F7FB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Resource group containing the workspace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WorkspaceSubscriptionId</w:t>
            </w:r>
          </w:p>
        </w:tc>
        <w:tc>
          <w:tcPr>
            <w:tcW w:type="dxa" w:w="6480"/>
            <w:vAlign w:val="center"/>
            <w:shd w:fill="F7FB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Subscription ID of the workspace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/>
          <w:b/>
          <w:color w:val="1F4E78"/>
          <w:sz w:val="32"/>
        </w:rPr>
        <w:t>Deployment steps</w:t>
      </w:r>
    </w:p>
    <w:p>
      <w:pPr>
        <w:pStyle w:val="ListNumber"/>
        <w:spacing w:after="20"/>
      </w:pPr>
      <w:r>
        <w:rPr>
          <w:rFonts w:ascii="Aptos" w:hAnsi="Aptos"/>
          <w:sz w:val="21"/>
        </w:rPr>
        <w:t>Open Azure Portal and go to Deploy a custom template.</w:t>
      </w:r>
    </w:p>
    <w:p>
      <w:pPr>
        <w:pStyle w:val="ListNumber"/>
        <w:spacing w:after="20"/>
      </w:pPr>
      <w:r>
        <w:rPr>
          <w:rFonts w:ascii="Aptos" w:hAnsi="Aptos"/>
          <w:sz w:val="21"/>
        </w:rPr>
        <w:t>Upload AIR Secops Playbook.json.</w:t>
      </w:r>
    </w:p>
    <w:p>
      <w:pPr>
        <w:pStyle w:val="ListNumber"/>
        <w:spacing w:after="20"/>
      </w:pPr>
      <w:r>
        <w:rPr>
          <w:rFonts w:ascii="Aptos" w:hAnsi="Aptos"/>
          <w:sz w:val="21"/>
        </w:rPr>
        <w:t>Provide values for Playbook Name, Workspace Name, and Location.</w:t>
      </w:r>
    </w:p>
    <w:p>
      <w:pPr>
        <w:pStyle w:val="ListNumber"/>
        <w:spacing w:after="20"/>
      </w:pPr>
      <w:r>
        <w:rPr>
          <w:rFonts w:ascii="Aptos" w:hAnsi="Aptos"/>
          <w:sz w:val="21"/>
        </w:rPr>
        <w:t>Review the configuration and start deployment.</w:t>
      </w:r>
    </w:p>
    <w:p>
      <w:pPr>
        <w:pStyle w:val="ListNumber"/>
        <w:spacing w:after="20"/>
      </w:pPr>
      <w:r>
        <w:rPr>
          <w:rFonts w:ascii="Aptos" w:hAnsi="Aptos"/>
          <w:sz w:val="21"/>
        </w:rPr>
        <w:t>Validate the API connections and managed identity access after deployment.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F4E78"/>
          <w:sz w:val="32"/>
        </w:rPr>
        <w:t>Notes</w:t>
      </w:r>
    </w:p>
    <w:p>
      <w:pPr>
        <w:pStyle w:val="ListBullet"/>
        <w:spacing w:after="20"/>
      </w:pPr>
      <w:r>
        <w:rPr>
          <w:rFonts w:ascii="Aptos" w:hAnsi="Aptos"/>
          <w:sz w:val="21"/>
        </w:rPr>
        <w:t>The playbook uses managed identity authentication for the Azure Sentinel connection.</w:t>
      </w:r>
    </w:p>
    <w:p>
      <w:pPr>
        <w:pStyle w:val="ListBullet"/>
        <w:spacing w:after="20"/>
      </w:pPr>
      <w:r>
        <w:rPr>
          <w:rFonts w:ascii="Aptos" w:hAnsi="Aptos"/>
          <w:sz w:val="21"/>
        </w:rPr>
        <w:t>The KQL query runs against the SecurityAlert table with a 24-hour time range.</w:t>
      </w:r>
    </w:p>
    <w:p>
      <w:pPr>
        <w:pStyle w:val="ListBullet"/>
        <w:spacing w:after="20"/>
      </w:pPr>
      <w:r>
        <w:rPr>
          <w:rFonts w:ascii="Aptos" w:hAnsi="Aptos"/>
          <w:sz w:val="21"/>
        </w:rPr>
        <w:t>The update action is executed only when the evaluated condition returns true.</w:t>
      </w:r>
    </w:p>
    <w:p>
      <w:pPr>
        <w:pStyle w:val="ListBullet"/>
        <w:spacing w:after="20"/>
      </w:pPr>
      <w:r>
        <w:rPr>
          <w:rFonts w:ascii="Aptos" w:hAnsi="Aptos"/>
          <w:sz w:val="21"/>
        </w:rPr>
        <w:t>Alert processing runs sequentially because the loop concurrency is set to 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A7A7A"/>
        <w:sz w:val="17"/>
      </w:rPr>
      <w:t>Prepared for GitHub repository documentation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24"/>
      <w:gridCol w:w="4824"/>
    </w:tblGrid>
    <w:tr>
      <w:tc>
        <w:tcPr>
          <w:tcW w:type="dxa" w:w="4824"/>
          <w:shd w:fill="EAF3F8"/>
          <w:vAlign w:val="center"/>
        </w:tcPr>
        <w:p>
          <w:r>
            <w:rPr>
              <w:rFonts w:ascii="Aptos" w:hAnsi="Aptos"/>
              <w:b/>
              <w:color w:val="1F4E78"/>
              <w:sz w:val="19"/>
            </w:rPr>
            <w:t>Microsoft Sentinel - Playbook Documentation</w:t>
          </w:r>
        </w:p>
      </w:tc>
      <w:tc>
        <w:tcPr>
          <w:tcW w:type="dxa" w:w="4824"/>
          <w:shd w:fill="EAF3F8"/>
          <w:vAlign w:val="center"/>
        </w:tcPr>
        <w:p>
          <w:pPr>
            <w:jc w:val="right"/>
          </w:pPr>
          <w:r>
            <w:rPr>
              <w:rFonts w:ascii="Aptos" w:hAnsi="Aptos"/>
              <w:b/>
              <w:color w:val="1F4E78"/>
              <w:sz w:val="19"/>
            </w:rPr>
            <w:t>README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