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28"/>
          <w:szCs w:val="28"/>
        </w:rPr>
        <w:t xml:space="preserve">BIOCON BIOLOGICS LIMITED</w:t>
      </w:r>
    </w:p>
    <w:p>
      <w:pPr>
        <w:spacing w:after="240"/>
        <w:jc w:val="center"/>
      </w:pPr>
      <w:r>
        <w:rPr>
          <w:rFonts w:ascii="Arial" w:cs="Arial" w:eastAsia="Arial" w:hAnsi="Arial"/>
          <w:b/>
          <w:bCs/>
          <w:sz w:val="26"/>
          <w:szCs w:val="26"/>
        </w:rPr>
        <w:t xml:space="preserve">Standard Operating Procedure — Analytical Method Validation: Protein A HPLC Titer Assay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SOP Number</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BC-AN-MV-031</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Revision</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Rev 4</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20-Nov-2024</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Analytical Development / Quality Control</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Product Scope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Trastuzumab Biosimilar — Drug Substance Titer Measurement</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 Ramesh, Analytical Scientist</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Approver</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 Iyer, QA Manager</w:t>
            </w:r>
          </w:p>
        </w:tc>
      </w:tr>
    </w:tbl>
    <w:p>
      <w:r>
        <w:t xml:space="preserve"/>
      </w:r>
    </w:p>
    <w:p>
      <w:pPr>
        <w:pStyle w:val="Heading1"/>
      </w:pPr>
      <w:r>
        <w:rPr>
          <w:rFonts w:ascii="Arial" w:cs="Arial" w:eastAsia="Arial" w:hAnsi="Arial"/>
        </w:rPr>
        <w:t xml:space="preserve">Pre-Scripted Compliance Gap Summary</w:t>
      </w:r>
    </w:p>
    <w:p>
      <w:pPr>
        <w:shd w:fill="D5E8F0" w:val="clear"/>
        <w:spacing w:after="160"/>
      </w:pPr>
      <w:r>
        <w:rPr>
          <w:rFonts w:ascii="Arial" w:cs="Arial" w:eastAsia="Arial" w:hAnsi="Arial"/>
          <w:i/>
          <w:iCs/>
          <w:color w:val="0C3A6E"/>
          <w:sz w:val="20"/>
          <w:szCs w:val="20"/>
        </w:rPr>
        <w:t xml:space="preserve">NOTE: The following gaps are intentionally present for demo purposes and will be detected by the RAG gap engine.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760"/>
        <w:gridCol w:w="140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SOP Clause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Regulation Reference</w:t>
            </w:r>
          </w:p>
        </w:tc>
        <w:tc>
          <w:tcPr>
            <w:tcW w:type="dxa" w:w="3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Gap Description</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000"/>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tcPr>
          <w:p>
            <w:r>
              <w:rPr>
                <w:rFonts w:ascii="Arial" w:cs="Arial" w:eastAsia="Arial" w:hAnsi="Arial"/>
                <w:color w:val="C00000"/>
                <w:sz w:val="20"/>
                <w:szCs w:val="20"/>
              </w:rPr>
              <w:t xml:space="preserve">Section 6.3 — System Suitability</w:t>
            </w:r>
          </w:p>
        </w:tc>
        <w:tc>
          <w:tcPr>
            <w:tcW w:type="dxa" w:w="2200"/>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tcPr>
          <w:p>
            <w:r>
              <w:rPr>
                <w:rFonts w:ascii="Arial" w:cs="Arial" w:eastAsia="Arial" w:hAnsi="Arial"/>
                <w:color w:val="C00000"/>
                <w:sz w:val="20"/>
                <w:szCs w:val="20"/>
              </w:rPr>
              <w:t xml:space="preserve">ICH Q2(R1) §2 + 21 CFR 211.194(a)</w:t>
            </w:r>
          </w:p>
        </w:tc>
        <w:tc>
          <w:tcPr>
            <w:tcW w:type="dxa" w:w="3760"/>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tcPr>
          <w:p>
            <w:r>
              <w:rPr>
                <w:rFonts w:ascii="Arial" w:cs="Arial" w:eastAsia="Arial" w:hAnsi="Arial"/>
                <w:color w:val="C00000"/>
                <w:sz w:val="20"/>
                <w:szCs w:val="20"/>
              </w:rPr>
              <w:t xml:space="preserve">System suitability criteria not defined; no pass/fail parameters specified before sample analysis</w:t>
            </w:r>
          </w:p>
        </w:tc>
        <w:tc>
          <w:tcPr>
            <w:tcW w:type="dxa" w:w="1400"/>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tcPr>
          <w:p>
            <w:r>
              <w:rPr>
                <w:rFonts w:ascii="Arial" w:cs="Arial" w:eastAsia="Arial" w:hAnsi="Arial"/>
                <w:color w:val="C00000"/>
                <w:sz w:val="20"/>
                <w:szCs w:val="20"/>
              </w:rPr>
              <w:t xml:space="preserve">CRITICAL</w:t>
            </w:r>
          </w:p>
        </w:tc>
      </w:tr>
      <w:tr>
        <w:tc>
          <w:tcPr>
            <w:tcW w:type="dxa" w:w="2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7F5500"/>
                <w:sz w:val="20"/>
                <w:szCs w:val="20"/>
              </w:rPr>
              <w:t xml:space="preserve">Section 8 — Method Transfer</w:t>
            </w:r>
          </w:p>
        </w:tc>
        <w:tc>
          <w:tcPr>
            <w:tcW w:type="dxa" w:w="2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7F5500"/>
                <w:sz w:val="20"/>
                <w:szCs w:val="20"/>
              </w:rPr>
              <w:t xml:space="preserve">ICH Q2(R1) + EMA BWP/247713 §5.3</w:t>
            </w:r>
          </w:p>
        </w:tc>
        <w:tc>
          <w:tcPr>
            <w:tcW w:type="dxa" w:w="37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7F5500"/>
                <w:sz w:val="20"/>
                <w:szCs w:val="20"/>
              </w:rPr>
              <w:t xml:space="preserve">No method transfer protocol or acceptance criteria defined for transfer to QC testing laboratory</w:t>
            </w:r>
          </w:p>
        </w:tc>
        <w:tc>
          <w:tcPr>
            <w:tcW w:type="dxa" w:w="1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7F5500"/>
                <w:sz w:val="20"/>
                <w:szCs w:val="20"/>
              </w:rPr>
              <w:t xml:space="preserve">MAJOR</w:t>
            </w:r>
          </w:p>
        </w:tc>
      </w:tr>
    </w:tbl>
    <w:p>
      <w:r>
        <w:t xml:space="preserve"/>
      </w:r>
    </w:p>
    <w:p>
      <w:r>
        <w:br w:type="page"/>
      </w:r>
    </w:p>
    <w:p>
      <w:pPr>
        <w:pStyle w:val="Heading1"/>
      </w:pPr>
      <w:r>
        <w:rPr>
          <w:rFonts w:ascii="Arial" w:cs="Arial" w:eastAsia="Arial" w:hAnsi="Arial"/>
        </w:rPr>
        <w:t xml:space="preserve">1. Purpose</w:t>
      </w:r>
    </w:p>
    <w:p>
      <w:pPr>
        <w:spacing w:after="120"/>
      </w:pPr>
      <w:r>
        <w:rPr>
          <w:rFonts w:ascii="Arial" w:cs="Arial" w:eastAsia="Arial" w:hAnsi="Arial"/>
          <w:sz w:val="22"/>
          <w:szCs w:val="22"/>
        </w:rPr>
        <w:t xml:space="preserve">This SOP defines the validation requirements and procedures for the Protein A HPLC method used to quantify trastuzumab titer in cell culture harvest, purification intermediates, and drug substance. Method validation ensures the method is suitable for its intended purpose and meets ICH Q2(R1) requirements.</w:t>
      </w:r>
    </w:p>
    <w:p>
      <w:r>
        <w:t xml:space="preserve"/>
      </w:r>
    </w:p>
    <w:p>
      <w:pPr>
        <w:pStyle w:val="Heading1"/>
      </w:pPr>
      <w:r>
        <w:rPr>
          <w:rFonts w:ascii="Arial" w:cs="Arial" w:eastAsia="Arial" w:hAnsi="Arial"/>
        </w:rPr>
        <w:t xml:space="preserve">2. Regulatory References</w:t>
      </w:r>
    </w:p>
    <w:p>
      <w:pPr>
        <w:pStyle w:val="ListParagraph"/>
        <w:numPr>
          <w:ilvl w:val="0"/>
          <w:numId w:val="2"/>
        </w:numPr>
      </w:pPr>
      <w:r>
        <w:rPr>
          <w:rFonts w:ascii="Arial" w:cs="Arial" w:eastAsia="Arial" w:hAnsi="Arial"/>
          <w:sz w:val="22"/>
          <w:szCs w:val="22"/>
        </w:rPr>
        <w:t xml:space="preserve">ICH Q2(R1) — Validation of Analytical Procedures: Text and Methodology</w:t>
      </w:r>
    </w:p>
    <w:p>
      <w:pPr>
        <w:pStyle w:val="ListParagraph"/>
        <w:numPr>
          <w:ilvl w:val="0"/>
          <w:numId w:val="2"/>
        </w:numPr>
      </w:pPr>
      <w:r>
        <w:rPr>
          <w:rFonts w:ascii="Arial" w:cs="Arial" w:eastAsia="Arial" w:hAnsi="Arial"/>
          <w:sz w:val="22"/>
          <w:szCs w:val="22"/>
        </w:rPr>
        <w:t xml:space="preserve">21 CFR 211.194(a) — Laboratory records shall include a description of the sample received for testing</w:t>
      </w:r>
    </w:p>
    <w:p>
      <w:pPr>
        <w:pStyle w:val="ListParagraph"/>
        <w:numPr>
          <w:ilvl w:val="0"/>
          <w:numId w:val="2"/>
        </w:numPr>
      </w:pPr>
      <w:r>
        <w:rPr>
          <w:rFonts w:ascii="Arial" w:cs="Arial" w:eastAsia="Arial" w:hAnsi="Arial"/>
          <w:sz w:val="22"/>
          <w:szCs w:val="22"/>
        </w:rPr>
        <w:t xml:space="preserve">EMA/CHMP/BWP/247713/2012 §5.3 — Analytical considerations for biosimilar comparability</w:t>
      </w:r>
    </w:p>
    <w:p>
      <w:pPr>
        <w:pStyle w:val="ListParagraph"/>
        <w:numPr>
          <w:ilvl w:val="0"/>
          <w:numId w:val="2"/>
        </w:numPr>
      </w:pPr>
      <w:r>
        <w:rPr>
          <w:rFonts w:ascii="Arial" w:cs="Arial" w:eastAsia="Arial" w:hAnsi="Arial"/>
          <w:sz w:val="22"/>
          <w:szCs w:val="22"/>
        </w:rPr>
        <w:t xml:space="preserve">USP &lt;1058&gt; — Analytical Instrument Qualification</w:t>
      </w:r>
    </w:p>
    <w:p>
      <w:r>
        <w:t xml:space="preserve"/>
      </w:r>
    </w:p>
    <w:p>
      <w:pPr>
        <w:pStyle w:val="Heading1"/>
      </w:pPr>
      <w:r>
        <w:rPr>
          <w:rFonts w:ascii="Arial" w:cs="Arial" w:eastAsia="Arial" w:hAnsi="Arial"/>
        </w:rPr>
        <w:t xml:space="preserve">3. Analytical Method Description</w:t>
      </w:r>
    </w:p>
    <w:p>
      <w:pPr>
        <w:spacing w:after="120"/>
      </w:pPr>
      <w:r>
        <w:rPr>
          <w:rFonts w:ascii="Arial" w:cs="Arial" w:eastAsia="Arial" w:hAnsi="Arial"/>
          <w:sz w:val="22"/>
          <w:szCs w:val="22"/>
        </w:rPr>
        <w:t xml:space="preserve">The Protein A HPLC titer assay uses a POROS A 20 column (Applied Biosystems) with fluorescence detection. The method principle is affinity chromatography: Protein A specifically binds the Fc region of IgG-class antibodies. Titer is quantified by comparison against a calibration curve prepared from a certified reference standard.</w:t>
      </w:r>
    </w:p>
    <w:p>
      <w:r>
        <w:t xml:space="preserve"/>
      </w:r>
    </w:p>
    <w:p>
      <w:pPr>
        <w:pStyle w:val="Heading2"/>
      </w:pPr>
      <w:r>
        <w:rPr>
          <w:rFonts w:ascii="Arial" w:cs="Arial" w:eastAsia="Arial" w:hAnsi="Arial"/>
        </w:rPr>
        <w:t xml:space="preserve">3.1 Instrument Configuration</w:t>
      </w:r>
    </w:p>
    <w:p>
      <w:pPr>
        <w:pStyle w:val="ListParagraph"/>
        <w:numPr>
          <w:ilvl w:val="0"/>
          <w:numId w:val="2"/>
        </w:numPr>
      </w:pPr>
      <w:r>
        <w:rPr>
          <w:rFonts w:ascii="Arial" w:cs="Arial" w:eastAsia="Arial" w:hAnsi="Arial"/>
          <w:sz w:val="22"/>
          <w:szCs w:val="22"/>
        </w:rPr>
        <w:t xml:space="preserve">HPLC System: Agilent 1260 Infinity II with UV detector (280 nm)</w:t>
      </w:r>
    </w:p>
    <w:p>
      <w:pPr>
        <w:pStyle w:val="ListParagraph"/>
        <w:numPr>
          <w:ilvl w:val="0"/>
          <w:numId w:val="2"/>
        </w:numPr>
      </w:pPr>
      <w:r>
        <w:rPr>
          <w:rFonts w:ascii="Arial" w:cs="Arial" w:eastAsia="Arial" w:hAnsi="Arial"/>
          <w:sz w:val="22"/>
          <w:szCs w:val="22"/>
        </w:rPr>
        <w:t xml:space="preserve">Column: POROS Protein A 20 (2.1 mm x 30 mm), Applied Biosystems</w:t>
      </w:r>
    </w:p>
    <w:p>
      <w:pPr>
        <w:pStyle w:val="ListParagraph"/>
        <w:numPr>
          <w:ilvl w:val="0"/>
          <w:numId w:val="2"/>
        </w:numPr>
      </w:pPr>
      <w:r>
        <w:rPr>
          <w:rFonts w:ascii="Arial" w:cs="Arial" w:eastAsia="Arial" w:hAnsi="Arial"/>
          <w:sz w:val="22"/>
          <w:szCs w:val="22"/>
        </w:rPr>
        <w:t xml:space="preserve">Mobile Phase A: 25 mM sodium phosphate, 150 mM NaCl, pH 7.2</w:t>
      </w:r>
    </w:p>
    <w:p>
      <w:pPr>
        <w:pStyle w:val="ListParagraph"/>
        <w:numPr>
          <w:ilvl w:val="0"/>
          <w:numId w:val="2"/>
        </w:numPr>
      </w:pPr>
      <w:r>
        <w:rPr>
          <w:rFonts w:ascii="Arial" w:cs="Arial" w:eastAsia="Arial" w:hAnsi="Arial"/>
          <w:sz w:val="22"/>
          <w:szCs w:val="22"/>
        </w:rPr>
        <w:t xml:space="preserve">Mobile Phase B: 25 mM sodium phosphate, pH 2.5 (elution buffer)</w:t>
      </w:r>
    </w:p>
    <w:p>
      <w:pPr>
        <w:pStyle w:val="ListParagraph"/>
        <w:numPr>
          <w:ilvl w:val="0"/>
          <w:numId w:val="2"/>
        </w:numPr>
      </w:pPr>
      <w:r>
        <w:rPr>
          <w:rFonts w:ascii="Arial" w:cs="Arial" w:eastAsia="Arial" w:hAnsi="Arial"/>
          <w:sz w:val="22"/>
          <w:szCs w:val="22"/>
        </w:rPr>
        <w:t xml:space="preserve">Flow Rate: 0.5 mL/min</w:t>
      </w:r>
    </w:p>
    <w:p>
      <w:pPr>
        <w:pStyle w:val="ListParagraph"/>
        <w:numPr>
          <w:ilvl w:val="0"/>
          <w:numId w:val="2"/>
        </w:numPr>
      </w:pPr>
      <w:r>
        <w:rPr>
          <w:rFonts w:ascii="Arial" w:cs="Arial" w:eastAsia="Arial" w:hAnsi="Arial"/>
          <w:sz w:val="22"/>
          <w:szCs w:val="22"/>
        </w:rPr>
        <w:t xml:space="preserve">Injection Volume: 10 µL</w:t>
      </w:r>
    </w:p>
    <w:p>
      <w:pPr>
        <w:pStyle w:val="ListParagraph"/>
        <w:numPr>
          <w:ilvl w:val="0"/>
          <w:numId w:val="2"/>
        </w:numPr>
      </w:pPr>
      <w:r>
        <w:rPr>
          <w:rFonts w:ascii="Arial" w:cs="Arial" w:eastAsia="Arial" w:hAnsi="Arial"/>
          <w:sz w:val="22"/>
          <w:szCs w:val="22"/>
        </w:rPr>
        <w:t xml:space="preserve">Run Time: 8 minutes</w:t>
      </w:r>
    </w:p>
    <w:p>
      <w:r>
        <w:t xml:space="preserve"/>
      </w:r>
    </w:p>
    <w:p>
      <w:pPr>
        <w:pStyle w:val="Heading1"/>
      </w:pPr>
      <w:r>
        <w:rPr>
          <w:rFonts w:ascii="Arial" w:cs="Arial" w:eastAsia="Arial" w:hAnsi="Arial"/>
        </w:rPr>
        <w:t xml:space="preserve">4. Validation Parameters</w:t>
      </w:r>
    </w:p>
    <w:p>
      <w:pPr>
        <w:spacing w:after="120"/>
      </w:pPr>
      <w:r>
        <w:rPr>
          <w:rFonts w:ascii="Arial" w:cs="Arial" w:eastAsia="Arial" w:hAnsi="Arial"/>
          <w:sz w:val="22"/>
          <w:szCs w:val="22"/>
        </w:rPr>
        <w:t xml:space="preserve">The following validation parameters shall be assessed per ICH Q2(R1):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Number of Replicates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Specificity</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 interfering peaks from blank, matrix, or excipients</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 replicates per matrix</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Linearity</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R² ≥ 0.999 over 0.1–5.0 g/L range</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 concentration levels, n=3 each</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Accuracy (recovery)</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85–115% recovery at 3 concentration levels</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 levels, n=3 each</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Precision — repeatability</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RSD ≤ 5.0%</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6 replicates at 100% concentration</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Precision — intermediate</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RSD ≤ 8.0%</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 analysts, 3 days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LOQ</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Signal-to-noise ≥ 10; ≤ 0.05 g/L</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6 replicates at LOQ</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Range</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0.1 g/L to 5.0 g/L</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Demonstrated via linearity</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Robustness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RSD ≤ 10% for deliberate single-factor changes</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Fractional factorial design</w:t>
            </w:r>
          </w:p>
        </w:tc>
      </w:tr>
    </w:tbl>
    <w:p>
      <w:r>
        <w:t xml:space="preserve"/>
      </w:r>
    </w:p>
    <w:p>
      <w:pPr>
        <w:pStyle w:val="Heading1"/>
      </w:pPr>
      <w:r>
        <w:rPr>
          <w:rFonts w:ascii="Arial" w:cs="Arial" w:eastAsia="Arial" w:hAnsi="Arial"/>
        </w:rPr>
        <w:t xml:space="preserve">5. Reference Standard Preparation</w:t>
      </w:r>
    </w:p>
    <w:p>
      <w:pPr>
        <w:spacing w:after="120"/>
      </w:pPr>
      <w:r>
        <w:rPr>
          <w:rFonts w:ascii="Arial" w:cs="Arial" w:eastAsia="Arial" w:hAnsi="Arial"/>
          <w:sz w:val="22"/>
          <w:szCs w:val="22"/>
        </w:rPr>
        <w:t xml:space="preserve">The primary reference standard for titer quantification shall be the certified trastuzumab biosimilar reference standard (BCD-Trast-RS-2024), prepared and qualified per SOP BC-AN-RS-005. A calibration curve shall be prepared freshly for each analytical run at the following concentrations:</w:t>
      </w:r>
    </w:p>
    <w:p>
      <w:pPr>
        <w:pStyle w:val="ListParagraph"/>
        <w:numPr>
          <w:ilvl w:val="0"/>
          <w:numId w:val="2"/>
        </w:numPr>
      </w:pPr>
      <w:r>
        <w:rPr>
          <w:rFonts w:ascii="Arial" w:cs="Arial" w:eastAsia="Arial" w:hAnsi="Arial"/>
          <w:sz w:val="22"/>
          <w:szCs w:val="22"/>
        </w:rPr>
        <w:t xml:space="preserve">Standard 1: 0.1 g/L</w:t>
      </w:r>
    </w:p>
    <w:p>
      <w:pPr>
        <w:pStyle w:val="ListParagraph"/>
        <w:numPr>
          <w:ilvl w:val="0"/>
          <w:numId w:val="2"/>
        </w:numPr>
      </w:pPr>
      <w:r>
        <w:rPr>
          <w:rFonts w:ascii="Arial" w:cs="Arial" w:eastAsia="Arial" w:hAnsi="Arial"/>
          <w:sz w:val="22"/>
          <w:szCs w:val="22"/>
        </w:rPr>
        <w:t xml:space="preserve">Standard 2: 0.5 g/L</w:t>
      </w:r>
    </w:p>
    <w:p>
      <w:pPr>
        <w:pStyle w:val="ListParagraph"/>
        <w:numPr>
          <w:ilvl w:val="0"/>
          <w:numId w:val="2"/>
        </w:numPr>
      </w:pPr>
      <w:r>
        <w:rPr>
          <w:rFonts w:ascii="Arial" w:cs="Arial" w:eastAsia="Arial" w:hAnsi="Arial"/>
          <w:sz w:val="22"/>
          <w:szCs w:val="22"/>
        </w:rPr>
        <w:t xml:space="preserve">Standard 3: 1.0 g/L</w:t>
      </w:r>
    </w:p>
    <w:p>
      <w:pPr>
        <w:pStyle w:val="ListParagraph"/>
        <w:numPr>
          <w:ilvl w:val="0"/>
          <w:numId w:val="2"/>
        </w:numPr>
      </w:pPr>
      <w:r>
        <w:rPr>
          <w:rFonts w:ascii="Arial" w:cs="Arial" w:eastAsia="Arial" w:hAnsi="Arial"/>
          <w:sz w:val="22"/>
          <w:szCs w:val="22"/>
        </w:rPr>
        <w:t xml:space="preserve">Standard 4: 2.5 g/L</w:t>
      </w:r>
    </w:p>
    <w:p>
      <w:pPr>
        <w:pStyle w:val="ListParagraph"/>
        <w:numPr>
          <w:ilvl w:val="0"/>
          <w:numId w:val="2"/>
        </w:numPr>
      </w:pPr>
      <w:r>
        <w:rPr>
          <w:rFonts w:ascii="Arial" w:cs="Arial" w:eastAsia="Arial" w:hAnsi="Arial"/>
          <w:sz w:val="22"/>
          <w:szCs w:val="22"/>
        </w:rPr>
        <w:t xml:space="preserve">Standard 5: 5.0 g/L</w:t>
      </w:r>
    </w:p>
    <w:p>
      <w:r>
        <w:t xml:space="preserve"/>
      </w:r>
    </w:p>
    <w:p>
      <w:pPr>
        <w:pStyle w:val="Heading1"/>
      </w:pPr>
      <w:r>
        <w:rPr>
          <w:rFonts w:ascii="Arial" w:cs="Arial" w:eastAsia="Arial" w:hAnsi="Arial"/>
        </w:rPr>
        <w:t xml:space="preserve">6. Sample Analysis Procedure</w:t>
      </w:r>
    </w:p>
    <w:p>
      <w:pPr>
        <w:pStyle w:val="Heading2"/>
      </w:pPr>
      <w:r>
        <w:rPr>
          <w:rFonts w:ascii="Arial" w:cs="Arial" w:eastAsia="Arial" w:hAnsi="Arial"/>
        </w:rPr>
        <w:t xml:space="preserve">6.1 Sample Preparation</w:t>
      </w:r>
    </w:p>
    <w:p>
      <w:pPr>
        <w:pStyle w:val="ListParagraph"/>
        <w:numPr>
          <w:ilvl w:val="0"/>
          <w:numId w:val="3"/>
        </w:numPr>
      </w:pPr>
      <w:r>
        <w:rPr>
          <w:rFonts w:ascii="Arial" w:cs="Arial" w:eastAsia="Arial" w:hAnsi="Arial"/>
          <w:sz w:val="22"/>
          <w:szCs w:val="22"/>
        </w:rPr>
        <w:t xml:space="preserve">Thaw samples at room temperature. Mix gently — do not vortex.</w:t>
      </w:r>
    </w:p>
    <w:p>
      <w:pPr>
        <w:pStyle w:val="ListParagraph"/>
        <w:numPr>
          <w:ilvl w:val="0"/>
          <w:numId w:val="3"/>
        </w:numPr>
      </w:pPr>
      <w:r>
        <w:rPr>
          <w:rFonts w:ascii="Arial" w:cs="Arial" w:eastAsia="Arial" w:hAnsi="Arial"/>
          <w:sz w:val="22"/>
          <w:szCs w:val="22"/>
        </w:rPr>
        <w:t xml:space="preserve">Dilute samples appropriately to fall within the validated linearity range (0.1–5.0 g/L).</w:t>
      </w:r>
    </w:p>
    <w:p>
      <w:pPr>
        <w:pStyle w:val="ListParagraph"/>
        <w:numPr>
          <w:ilvl w:val="0"/>
          <w:numId w:val="3"/>
        </w:numPr>
      </w:pPr>
      <w:r>
        <w:rPr>
          <w:rFonts w:ascii="Arial" w:cs="Arial" w:eastAsia="Arial" w:hAnsi="Arial"/>
          <w:sz w:val="22"/>
          <w:szCs w:val="22"/>
        </w:rPr>
        <w:t xml:space="preserve">Filter through 0.22 µm PVDF membrane filter prior to injection.</w:t>
      </w:r>
    </w:p>
    <w:p>
      <w:r>
        <w:t xml:space="preserve"/>
      </w:r>
    </w:p>
    <w:p>
      <w:pPr>
        <w:pStyle w:val="Heading2"/>
      </w:pPr>
      <w:r>
        <w:rPr>
          <w:rFonts w:ascii="Arial" w:cs="Arial" w:eastAsia="Arial" w:hAnsi="Arial"/>
        </w:rPr>
        <w:t xml:space="preserve">6.2 Instrument Preparation</w:t>
      </w:r>
    </w:p>
    <w:p>
      <w:pPr>
        <w:pStyle w:val="ListParagraph"/>
        <w:numPr>
          <w:ilvl w:val="0"/>
          <w:numId w:val="3"/>
        </w:numPr>
      </w:pPr>
      <w:r>
        <w:rPr>
          <w:rFonts w:ascii="Arial" w:cs="Arial" w:eastAsia="Arial" w:hAnsi="Arial"/>
          <w:sz w:val="22"/>
          <w:szCs w:val="22"/>
        </w:rPr>
        <w:t xml:space="preserve">Equilibrate the HPLC column with 10 column volumes of Mobile Phase A before analysis.</w:t>
      </w:r>
    </w:p>
    <w:p>
      <w:pPr>
        <w:pStyle w:val="ListParagraph"/>
        <w:numPr>
          <w:ilvl w:val="0"/>
          <w:numId w:val="3"/>
        </w:numPr>
      </w:pPr>
      <w:r>
        <w:rPr>
          <w:rFonts w:ascii="Arial" w:cs="Arial" w:eastAsia="Arial" w:hAnsi="Arial"/>
          <w:sz w:val="22"/>
          <w:szCs w:val="22"/>
        </w:rPr>
        <w:t xml:space="preserve">Run blank injection (Mobile Phase A) and confirm no interfering peaks in the retention time window.</w:t>
      </w:r>
    </w:p>
    <w:p>
      <w:r>
        <w:t xml:space="preserve"/>
      </w:r>
    </w:p>
    <w:p>
      <w:pPr>
        <w:pStyle w:val="Heading2"/>
      </w:pPr>
      <w:r>
        <w:rPr>
          <w:rFonts w:ascii="Arial" w:cs="Arial" w:eastAsia="Arial" w:hAnsi="Arial"/>
        </w:rPr>
        <w:t xml:space="preserve">6.3 System Suitability</w:t>
      </w:r>
    </w:p>
    <w:p>
      <w:pPr>
        <w:shd w:fill="FFCCCC" w:val="clear"/>
        <w:spacing w:after="120"/>
      </w:pPr>
      <w:r>
        <w:rPr>
          <w:rFonts w:ascii="Arial" w:cs="Arial" w:eastAsia="Arial" w:hAnsi="Arial"/>
          <w:b/>
          <w:bCs/>
          <w:color w:val="C00000"/>
          <w:sz w:val="22"/>
          <w:szCs w:val="22"/>
        </w:rPr>
        <w:t xml:space="preserve">[GAP - CRITICAL] </w:t>
      </w:r>
      <w:r>
        <w:rPr>
          <w:rFonts w:ascii="Arial" w:cs="Arial" w:eastAsia="Arial" w:hAnsi="Arial"/>
          <w:color w:val="C00000"/>
          <w:sz w:val="22"/>
          <w:szCs w:val="22"/>
        </w:rPr>
        <w:t xml:space="preserve">System suitability criteria are not defined in this SOP. ICH Q2(R1) and 21 CFR 211.194(a) require that system suitability tests be performed before sample analysis to confirm the chromatographic system is operating correctly. Required elements missing from this SOP: (1) Acceptance criteria for peak retention time reproducibility (typically %RSD ≤ 1.0%); (2) Peak tailing factor acceptance criterion (typically 0.8–1.5); (3) Column plate count (N) minimum value; (4) Reference standard peak area % RSD (typically ≤ 2.0% for n=5 injections); (5) Procedure to follow if system suitability fails. Without defined system suitability criteria, every analytical run is potentially uncontrolled and data generated cannot be considered valid under GMP.</w:t>
      </w:r>
    </w:p>
    <w:p>
      <w:r>
        <w:t xml:space="preserve"/>
      </w:r>
    </w:p>
    <w:p>
      <w:pPr>
        <w:pStyle w:val="ListParagraph"/>
        <w:numPr>
          <w:ilvl w:val="0"/>
          <w:numId w:val="3"/>
        </w:numPr>
      </w:pPr>
      <w:r>
        <w:rPr>
          <w:rFonts w:ascii="Arial" w:cs="Arial" w:eastAsia="Arial" w:hAnsi="Arial"/>
          <w:sz w:val="22"/>
          <w:szCs w:val="22"/>
        </w:rPr>
        <w:t xml:space="preserve">Inject the system suitability standard (1.0 g/L reference standard) five times consecutively.</w:t>
      </w:r>
    </w:p>
    <w:p>
      <w:pPr>
        <w:pStyle w:val="ListParagraph"/>
        <w:numPr>
          <w:ilvl w:val="0"/>
          <w:numId w:val="3"/>
        </w:numPr>
      </w:pPr>
      <w:r>
        <w:rPr>
          <w:rFonts w:ascii="Arial" w:cs="Arial" w:eastAsia="Arial" w:hAnsi="Arial"/>
          <w:sz w:val="22"/>
          <w:szCs w:val="22"/>
        </w:rPr>
        <w:t xml:space="preserve">Proceed to sample analysis only after confirming system suitability. Document result in the analytical worksheet.</w:t>
      </w:r>
    </w:p>
    <w:p>
      <w:r>
        <w:t xml:space="preserve"/>
      </w:r>
    </w:p>
    <w:p>
      <w:pPr>
        <w:pStyle w:val="Heading2"/>
      </w:pPr>
      <w:r>
        <w:rPr>
          <w:rFonts w:ascii="Arial" w:cs="Arial" w:eastAsia="Arial" w:hAnsi="Arial"/>
        </w:rPr>
        <w:t xml:space="preserve">6.4 Sample Sequence</w:t>
      </w:r>
    </w:p>
    <w:p>
      <w:pPr>
        <w:spacing w:after="120"/>
      </w:pPr>
      <w:r>
        <w:rPr>
          <w:rFonts w:ascii="Arial" w:cs="Arial" w:eastAsia="Arial" w:hAnsi="Arial"/>
          <w:sz w:val="22"/>
          <w:szCs w:val="22"/>
        </w:rPr>
        <w:t xml:space="preserve">The injection sequence for each analytical run shall be:</w:t>
      </w:r>
    </w:p>
    <w:p>
      <w:pPr>
        <w:pStyle w:val="ListParagraph"/>
        <w:numPr>
          <w:ilvl w:val="0"/>
          <w:numId w:val="3"/>
        </w:numPr>
      </w:pPr>
      <w:r>
        <w:rPr>
          <w:rFonts w:ascii="Arial" w:cs="Arial" w:eastAsia="Arial" w:hAnsi="Arial"/>
          <w:sz w:val="22"/>
          <w:szCs w:val="22"/>
        </w:rPr>
        <w:t xml:space="preserve">Blank x 1</w:t>
      </w:r>
    </w:p>
    <w:p>
      <w:pPr>
        <w:pStyle w:val="ListParagraph"/>
        <w:numPr>
          <w:ilvl w:val="0"/>
          <w:numId w:val="3"/>
        </w:numPr>
      </w:pPr>
      <w:r>
        <w:rPr>
          <w:rFonts w:ascii="Arial" w:cs="Arial" w:eastAsia="Arial" w:hAnsi="Arial"/>
          <w:sz w:val="22"/>
          <w:szCs w:val="22"/>
        </w:rPr>
        <w:t xml:space="preserve">System suitability standard x 5</w:t>
      </w:r>
    </w:p>
    <w:p>
      <w:pPr>
        <w:pStyle w:val="ListParagraph"/>
        <w:numPr>
          <w:ilvl w:val="0"/>
          <w:numId w:val="3"/>
        </w:numPr>
      </w:pPr>
      <w:r>
        <w:rPr>
          <w:rFonts w:ascii="Arial" w:cs="Arial" w:eastAsia="Arial" w:hAnsi="Arial"/>
          <w:sz w:val="22"/>
          <w:szCs w:val="22"/>
        </w:rPr>
        <w:t xml:space="preserve">Calibration standards (low to high) x 1 each</w:t>
      </w:r>
    </w:p>
    <w:p>
      <w:pPr>
        <w:pStyle w:val="ListParagraph"/>
        <w:numPr>
          <w:ilvl w:val="0"/>
          <w:numId w:val="3"/>
        </w:numPr>
      </w:pPr>
      <w:r>
        <w:rPr>
          <w:rFonts w:ascii="Arial" w:cs="Arial" w:eastAsia="Arial" w:hAnsi="Arial"/>
          <w:sz w:val="22"/>
          <w:szCs w:val="22"/>
        </w:rPr>
        <w:t xml:space="preserve">QC samples (low, mid, high) x 2 each</w:t>
      </w:r>
    </w:p>
    <w:p>
      <w:pPr>
        <w:pStyle w:val="ListParagraph"/>
        <w:numPr>
          <w:ilvl w:val="0"/>
          <w:numId w:val="3"/>
        </w:numPr>
      </w:pPr>
      <w:r>
        <w:rPr>
          <w:rFonts w:ascii="Arial" w:cs="Arial" w:eastAsia="Arial" w:hAnsi="Arial"/>
          <w:sz w:val="22"/>
          <w:szCs w:val="22"/>
        </w:rPr>
        <w:t xml:space="preserve">Unknown samples (in duplicate)</w:t>
      </w:r>
    </w:p>
    <w:p>
      <w:pPr>
        <w:pStyle w:val="ListParagraph"/>
        <w:numPr>
          <w:ilvl w:val="0"/>
          <w:numId w:val="3"/>
        </w:numPr>
      </w:pPr>
      <w:r>
        <w:rPr>
          <w:rFonts w:ascii="Arial" w:cs="Arial" w:eastAsia="Arial" w:hAnsi="Arial"/>
          <w:sz w:val="22"/>
          <w:szCs w:val="22"/>
        </w:rPr>
        <w:t xml:space="preserve">Calibration standard (mid) x 1 — bracket check</w:t>
      </w:r>
    </w:p>
    <w:p>
      <w:r>
        <w:t xml:space="preserve"/>
      </w:r>
    </w:p>
    <w:p>
      <w:pPr>
        <w:pStyle w:val="Heading1"/>
      </w:pPr>
      <w:r>
        <w:rPr>
          <w:rFonts w:ascii="Arial" w:cs="Arial" w:eastAsia="Arial" w:hAnsi="Arial"/>
        </w:rPr>
        <w:t xml:space="preserve">7. Calculations and Data Reporting</w:t>
      </w:r>
    </w:p>
    <w:p>
      <w:pPr>
        <w:spacing w:after="120"/>
      </w:pPr>
      <w:r>
        <w:rPr>
          <w:rFonts w:ascii="Arial" w:cs="Arial" w:eastAsia="Arial" w:hAnsi="Arial"/>
          <w:sz w:val="22"/>
          <w:szCs w:val="22"/>
        </w:rPr>
        <w:t xml:space="preserve">Titer (g/L) = [Peak Area of Sample / Slope of Calibration Curve] x Dilution Factor</w:t>
      </w:r>
    </w:p>
    <w:p>
      <w:pPr>
        <w:spacing w:after="120"/>
      </w:pPr>
      <w:r>
        <w:rPr>
          <w:rFonts w:ascii="Arial" w:cs="Arial" w:eastAsia="Arial" w:hAnsi="Arial"/>
          <w:sz w:val="22"/>
          <w:szCs w:val="22"/>
        </w:rPr>
        <w:t xml:space="preserve">Report the mean of duplicate injections. If duplicates differ by more than 5.0%, the analysis shall be repeated and the discrepancy investigated.</w:t>
      </w:r>
    </w:p>
    <w:p>
      <w:r>
        <w:t xml:space="preserve"/>
      </w:r>
    </w:p>
    <w:p>
      <w:pPr>
        <w:pStyle w:val="Heading1"/>
      </w:pPr>
      <w:r>
        <w:rPr>
          <w:rFonts w:ascii="Arial" w:cs="Arial" w:eastAsia="Arial" w:hAnsi="Arial"/>
        </w:rPr>
        <w:t xml:space="preserve">8. Method Transfer</w:t>
      </w:r>
    </w:p>
    <w:p>
      <w:pPr>
        <w:shd w:fill="FFF2CC" w:val="clear"/>
        <w:spacing w:after="120"/>
      </w:pPr>
      <w:r>
        <w:rPr>
          <w:rFonts w:ascii="Arial" w:cs="Arial" w:eastAsia="Arial" w:hAnsi="Arial"/>
          <w:b/>
          <w:bCs/>
          <w:color w:val="7F5500"/>
          <w:sz w:val="22"/>
          <w:szCs w:val="22"/>
        </w:rPr>
        <w:t xml:space="preserve">[GAP - MAJOR] </w:t>
      </w:r>
      <w:r>
        <w:rPr>
          <w:rFonts w:ascii="Arial" w:cs="Arial" w:eastAsia="Arial" w:hAnsi="Arial"/>
          <w:color w:val="7F5500"/>
          <w:sz w:val="22"/>
          <w:szCs w:val="22"/>
        </w:rPr>
        <w:t xml:space="preserve">This SOP does not define a method transfer protocol or acceptance criteria for transfer of the Protein A HPLC method from Analytical Development to the QC testing laboratory. ICH Q2(R1) and EMA/CHMP/BWP/247713/2012 §5.3 require that analytical methods used for biosimilar comparability and release testing be formally transferred with documented acceptance criteria. Required elements missing: (1) Pre-transfer qualification checklist (equipment, analyst training, reagent qualification); (2) Transfer experimental design (number of samples, replicates, concentration levels); (3) Statistical acceptance criteria for equivalence (e.g., absolute difference in means ≤ X%); (4) Documentation requirements; (5) Procedure for out-of-specification transfer results. Methods used for release testing without a completed transfer study may be challenged by regulatory agencies during inspection.</w:t>
      </w:r>
    </w:p>
    <w:p>
      <w:r>
        <w:t xml:space="preserve"/>
      </w:r>
    </w:p>
    <w:p>
      <w:pPr>
        <w:pStyle w:val="Heading1"/>
      </w:pPr>
      <w:r>
        <w:rPr>
          <w:rFonts w:ascii="Arial" w:cs="Arial" w:eastAsia="Arial" w:hAnsi="Arial"/>
        </w:rPr>
        <w:t xml:space="preserve">9. Method Revalidation Triggers</w:t>
      </w:r>
    </w:p>
    <w:p>
      <w:pPr>
        <w:spacing w:after="120"/>
      </w:pPr>
      <w:r>
        <w:rPr>
          <w:rFonts w:ascii="Arial" w:cs="Arial" w:eastAsia="Arial" w:hAnsi="Arial"/>
          <w:sz w:val="22"/>
          <w:szCs w:val="22"/>
        </w:rPr>
        <w:t xml:space="preserve">Revalidation or requalification of the method shall be initiated when any of the following occur:</w:t>
      </w:r>
    </w:p>
    <w:p>
      <w:pPr>
        <w:pStyle w:val="ListParagraph"/>
        <w:numPr>
          <w:ilvl w:val="0"/>
          <w:numId w:val="2"/>
        </w:numPr>
      </w:pPr>
      <w:r>
        <w:rPr>
          <w:rFonts w:ascii="Arial" w:cs="Arial" w:eastAsia="Arial" w:hAnsi="Arial"/>
          <w:sz w:val="22"/>
          <w:szCs w:val="22"/>
        </w:rPr>
        <w:t xml:space="preserve">Change in HPLC column lot that exceeds defined performance criteria</w:t>
      </w:r>
    </w:p>
    <w:p>
      <w:pPr>
        <w:pStyle w:val="ListParagraph"/>
        <w:numPr>
          <w:ilvl w:val="0"/>
          <w:numId w:val="2"/>
        </w:numPr>
      </w:pPr>
      <w:r>
        <w:rPr>
          <w:rFonts w:ascii="Arial" w:cs="Arial" w:eastAsia="Arial" w:hAnsi="Arial"/>
          <w:sz w:val="22"/>
          <w:szCs w:val="22"/>
        </w:rPr>
        <w:t xml:space="preserve">Change in column chemistry or supplier</w:t>
      </w:r>
    </w:p>
    <w:p>
      <w:pPr>
        <w:pStyle w:val="ListParagraph"/>
        <w:numPr>
          <w:ilvl w:val="0"/>
          <w:numId w:val="2"/>
        </w:numPr>
      </w:pPr>
      <w:r>
        <w:rPr>
          <w:rFonts w:ascii="Arial" w:cs="Arial" w:eastAsia="Arial" w:hAnsi="Arial"/>
          <w:sz w:val="22"/>
          <w:szCs w:val="22"/>
        </w:rPr>
        <w:t xml:space="preserve">Change in mobile phase reagent grade or supplier</w:t>
      </w:r>
    </w:p>
    <w:p>
      <w:pPr>
        <w:pStyle w:val="ListParagraph"/>
        <w:numPr>
          <w:ilvl w:val="0"/>
          <w:numId w:val="2"/>
        </w:numPr>
      </w:pPr>
      <w:r>
        <w:rPr>
          <w:rFonts w:ascii="Arial" w:cs="Arial" w:eastAsia="Arial" w:hAnsi="Arial"/>
          <w:sz w:val="22"/>
          <w:szCs w:val="22"/>
        </w:rPr>
        <w:t xml:space="preserve">Change in reference standard lot (requires accuracy re-assessment)</w:t>
      </w:r>
    </w:p>
    <w:p>
      <w:pPr>
        <w:pStyle w:val="ListParagraph"/>
        <w:numPr>
          <w:ilvl w:val="0"/>
          <w:numId w:val="2"/>
        </w:numPr>
      </w:pPr>
      <w:r>
        <w:rPr>
          <w:rFonts w:ascii="Arial" w:cs="Arial" w:eastAsia="Arial" w:hAnsi="Arial"/>
          <w:sz w:val="22"/>
          <w:szCs w:val="22"/>
        </w:rPr>
        <w:t xml:space="preserve">Significant change in sample matrix (e.g., new excipient formulation)</w:t>
      </w:r>
    </w:p>
    <w:p>
      <w:pPr>
        <w:pStyle w:val="ListParagraph"/>
        <w:numPr>
          <w:ilvl w:val="0"/>
          <w:numId w:val="2"/>
        </w:numPr>
      </w:pPr>
      <w:r>
        <w:rPr>
          <w:rFonts w:ascii="Arial" w:cs="Arial" w:eastAsia="Arial" w:hAnsi="Arial"/>
          <w:sz w:val="22"/>
          <w:szCs w:val="22"/>
        </w:rPr>
        <w:t xml:space="preserve">HPLC instrument replacement or major repair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2026-04-11T09:26:38.765Z</dcterms:created>
  <dcterms:modified xsi:type="dcterms:W3CDTF">2026-04-11T09:26:38.765Z</dcterms:modified>
</cp:coreProperties>
</file>

<file path=docProps/custom.xml><?xml version="1.0" encoding="utf-8"?>
<Properties xmlns="http://schemas.openxmlformats.org/officeDocument/2006/custom-properties" xmlns:vt="http://schemas.openxmlformats.org/officeDocument/2006/docPropsVTypes"/>
</file>