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28"/>
          <w:szCs w:val="28"/>
        </w:rPr>
        <w:t xml:space="preserve">BIOCON BIOLOGICS LIMITED</w:t>
      </w:r>
    </w:p>
    <w:p>
      <w:pPr>
        <w:spacing w:after="240"/>
        <w:jc w:val="center"/>
      </w:pPr>
      <w:r>
        <w:rPr>
          <w:rFonts w:ascii="Arial" w:cs="Arial" w:eastAsia="Arial" w:hAnsi="Arial"/>
          <w:b/>
          <w:bCs/>
          <w:sz w:val="26"/>
          <w:szCs w:val="26"/>
        </w:rPr>
        <w:t xml:space="preserve">Standard Operating Procedure — Batch Record Review and Disposition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SOP Number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BC-QC-BR-012</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Revision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 5</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02-Mar-2025</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Quality Control / Quality Assurance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Product Scope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biologics batches — Trastuzumab, Bevacizumab, Insulin Glargine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 Subramaniam, QA Specialist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Approver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 Iyer, QA Manager</w:t>
            </w:r>
          </w:p>
        </w:tc>
      </w:tr>
    </w:tbl>
    <w:p>
      <w:r>
        <w:t xml:space="preserve"/>
      </w:r>
    </w:p>
    <w:p>
      <w:pPr>
        <w:pStyle w:val="Heading1"/>
      </w:pPr>
      <w:r>
        <w:rPr>
          <w:rFonts w:ascii="Arial" w:cs="Arial" w:eastAsia="Arial" w:hAnsi="Arial"/>
        </w:rPr>
        <w:t xml:space="preserve">Pre-Scripted Compliance Gap Summary</w:t>
      </w:r>
    </w:p>
    <w:p>
      <w:pPr>
        <w:shd w:fill="D5E8F0" w:val="clear"/>
        <w:spacing w:after="160"/>
      </w:pPr>
      <w:r>
        <w:rPr>
          <w:rFonts w:ascii="Arial" w:cs="Arial" w:eastAsia="Arial" w:hAnsi="Arial"/>
          <w:i/>
          <w:iCs/>
          <w:color w:val="0C3A6E"/>
          <w:sz w:val="20"/>
          <w:szCs w:val="20"/>
        </w:rPr>
        <w:t xml:space="preserve">NOTE: The following gaps are intentionally present for demo purposes and will be detected by the RAG gap engine.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760"/>
        <w:gridCol w:w="140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SOP Clause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Regulation Reference</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 Description</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tcPr>
          <w:p>
            <w:r>
              <w:rPr>
                <w:rFonts w:ascii="Arial" w:cs="Arial" w:eastAsia="Arial" w:hAnsi="Arial"/>
                <w:color w:val="C00000"/>
                <w:sz w:val="20"/>
                <w:szCs w:val="20"/>
              </w:rPr>
              <w:t xml:space="preserve">Section 5.2 — Review Timeline</w:t>
            </w:r>
          </w:p>
        </w:tc>
        <w:tc>
          <w:tcPr>
            <w:tcW w:type="dxa" w:w="220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tcPr>
          <w:p>
            <w:r>
              <w:rPr>
                <w:rFonts w:ascii="Arial" w:cs="Arial" w:eastAsia="Arial" w:hAnsi="Arial"/>
                <w:color w:val="C00000"/>
                <w:sz w:val="20"/>
                <w:szCs w:val="20"/>
              </w:rPr>
              <w:t xml:space="preserve">21 CFR 211.192</w:t>
            </w:r>
          </w:p>
        </w:tc>
        <w:tc>
          <w:tcPr>
            <w:tcW w:type="dxa" w:w="376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tcPr>
          <w:p>
            <w:r>
              <w:rPr>
                <w:rFonts w:ascii="Arial" w:cs="Arial" w:eastAsia="Arial" w:hAnsi="Arial"/>
                <w:color w:val="C00000"/>
                <w:sz w:val="20"/>
                <w:szCs w:val="20"/>
              </w:rPr>
              <w:t xml:space="preserve">Batch record review frequency and timeline not specified; no deadline defined for QA review completion</w:t>
            </w:r>
          </w:p>
        </w:tc>
        <w:tc>
          <w:tcPr>
            <w:tcW w:type="dxa" w:w="140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tcPr>
          <w:p>
            <w:r>
              <w:rPr>
                <w:rFonts w:ascii="Arial" w:cs="Arial" w:eastAsia="Arial" w:hAnsi="Arial"/>
                <w:color w:val="C00000"/>
                <w:sz w:val="20"/>
                <w:szCs w:val="20"/>
              </w:rPr>
              <w:t xml:space="preserve">CRITICAL</w:t>
            </w:r>
          </w:p>
        </w:tc>
      </w:tr>
      <w:tr>
        <w:tc>
          <w:tcPr>
            <w:tcW w:type="dxa" w:w="2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5500"/>
                <w:sz w:val="20"/>
                <w:szCs w:val="20"/>
              </w:rPr>
              <w:t xml:space="preserve">Section 6.1 — OOS Results</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5500"/>
                <w:sz w:val="20"/>
                <w:szCs w:val="20"/>
              </w:rPr>
              <w:t xml:space="preserve">21 CFR 211.192 + ICH Q10 §3.2</w:t>
            </w:r>
          </w:p>
        </w:tc>
        <w:tc>
          <w:tcPr>
            <w:tcW w:type="dxa" w:w="37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5500"/>
                <w:sz w:val="20"/>
                <w:szCs w:val="20"/>
              </w:rPr>
              <w:t xml:space="preserve">No formal OOS investigation procedure referenced or defined; OOS results handling is ambiguous</w:t>
            </w:r>
          </w:p>
        </w:tc>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5500"/>
                <w:sz w:val="20"/>
                <w:szCs w:val="20"/>
              </w:rPr>
              <w:t xml:space="preserve">MAJOR</w:t>
            </w:r>
          </w:p>
        </w:tc>
      </w:tr>
    </w:tbl>
    <w:p>
      <w:r>
        <w:t xml:space="preserve"/>
      </w:r>
    </w:p>
    <w:p>
      <w:r>
        <w:br w:type="page"/>
      </w: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SOP establishes the process for review, approval, and disposition of manufacturing batch records for biologics products manufactured at Biocon Biologics Bengaluru. The purpose is to ensure that each batch has been manufactured and tested in accordance with applicable SOPs, specifications, and regulatory requirements.</w:t>
      </w:r>
    </w:p>
    <w:p>
      <w:r>
        <w:t xml:space="preserve"/>
      </w:r>
    </w:p>
    <w:p>
      <w:pPr>
        <w:pStyle w:val="Heading1"/>
      </w:pPr>
      <w:r>
        <w:rPr>
          <w:rFonts w:ascii="Arial" w:cs="Arial" w:eastAsia="Arial" w:hAnsi="Arial"/>
        </w:rPr>
        <w:t xml:space="preserve">2. Scope</w:t>
      </w:r>
    </w:p>
    <w:p>
      <w:pPr>
        <w:spacing w:after="120"/>
      </w:pPr>
      <w:r>
        <w:rPr>
          <w:rFonts w:ascii="Arial" w:cs="Arial" w:eastAsia="Arial" w:hAnsi="Arial"/>
          <w:sz w:val="22"/>
          <w:szCs w:val="22"/>
        </w:rPr>
        <w:t xml:space="preserve">This procedure applies to all production batch records (manufacturing and analytical) for Drug Substance and Drug Product batches of trastuzumab biosimilar, bevacizumab biosimilar, and insulin glargine products.</w:t>
      </w:r>
    </w:p>
    <w:p>
      <w:r>
        <w:t xml:space="preserve"/>
      </w:r>
    </w:p>
    <w:p>
      <w:pPr>
        <w:pStyle w:val="Heading1"/>
      </w:pPr>
      <w:r>
        <w:rPr>
          <w:rFonts w:ascii="Arial" w:cs="Arial" w:eastAsia="Arial" w:hAnsi="Arial"/>
        </w:rPr>
        <w:t xml:space="preserve">3. Regulatory References</w:t>
      </w:r>
    </w:p>
    <w:p>
      <w:pPr>
        <w:pStyle w:val="ListParagraph"/>
        <w:numPr>
          <w:ilvl w:val="0"/>
          <w:numId w:val="2"/>
        </w:numPr>
      </w:pPr>
      <w:r>
        <w:rPr>
          <w:rFonts w:ascii="Arial" w:cs="Arial" w:eastAsia="Arial" w:hAnsi="Arial"/>
          <w:sz w:val="22"/>
          <w:szCs w:val="22"/>
        </w:rPr>
        <w:t xml:space="preserve">21 CFR 211.192 — Production record review</w:t>
      </w:r>
    </w:p>
    <w:p>
      <w:pPr>
        <w:pStyle w:val="ListParagraph"/>
        <w:numPr>
          <w:ilvl w:val="0"/>
          <w:numId w:val="2"/>
        </w:numPr>
      </w:pPr>
      <w:r>
        <w:rPr>
          <w:rFonts w:ascii="Arial" w:cs="Arial" w:eastAsia="Arial" w:hAnsi="Arial"/>
          <w:sz w:val="22"/>
          <w:szCs w:val="22"/>
        </w:rPr>
        <w:t xml:space="preserve">21 CFR 211.68 — Automatic, mechanical, and electronic equipment</w:t>
      </w:r>
    </w:p>
    <w:p>
      <w:pPr>
        <w:pStyle w:val="ListParagraph"/>
        <w:numPr>
          <w:ilvl w:val="0"/>
          <w:numId w:val="2"/>
        </w:numPr>
      </w:pPr>
      <w:r>
        <w:rPr>
          <w:rFonts w:ascii="Arial" w:cs="Arial" w:eastAsia="Arial" w:hAnsi="Arial"/>
          <w:sz w:val="22"/>
          <w:szCs w:val="22"/>
        </w:rPr>
        <w:t xml:space="preserve">ICH Q10 — Pharmaceutical Quality System Section 3.2 (Process Performance and Product Quality Monitoring)</w:t>
      </w:r>
    </w:p>
    <w:p>
      <w:pPr>
        <w:pStyle w:val="ListParagraph"/>
        <w:numPr>
          <w:ilvl w:val="0"/>
          <w:numId w:val="2"/>
        </w:numPr>
      </w:pPr>
      <w:r>
        <w:rPr>
          <w:rFonts w:ascii="Arial" w:cs="Arial" w:eastAsia="Arial" w:hAnsi="Arial"/>
          <w:sz w:val="22"/>
          <w:szCs w:val="22"/>
        </w:rPr>
        <w:t xml:space="preserve">EMA CHMP/437/04 Rev1 — Guideline on similar biological medicinal products</w:t>
      </w:r>
    </w:p>
    <w:p>
      <w:r>
        <w:t xml:space="preserve"/>
      </w:r>
    </w:p>
    <w:p>
      <w:pPr>
        <w:pStyle w:val="Heading1"/>
      </w:pPr>
      <w:r>
        <w:rPr>
          <w:rFonts w:ascii="Arial" w:cs="Arial" w:eastAsia="Arial" w:hAnsi="Arial"/>
        </w:rP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Batch Record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complete record of all activities performed during the manufacture and testing of a specific batch</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Disposition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formal QA decision to Release or Reject a batch based on review of all batch records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OOS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Out-of-Specification — any analytical result that falls outside the approved acceptance criteria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OOT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Out-of-Trend — a result within specification but showing a statistically significant trend over time</w:t>
            </w:r>
          </w:p>
        </w:tc>
      </w:tr>
    </w:tbl>
    <w:p>
      <w:r>
        <w:t xml:space="preserve"/>
      </w:r>
    </w:p>
    <w:p>
      <w:pPr>
        <w:pStyle w:val="Heading1"/>
      </w:pPr>
      <w:r>
        <w:rPr>
          <w:rFonts w:ascii="Arial" w:cs="Arial" w:eastAsia="Arial" w:hAnsi="Arial"/>
        </w:rPr>
        <w:t xml:space="preserve">5. Batch Record Review Process</w:t>
      </w:r>
    </w:p>
    <w:p>
      <w:pPr>
        <w:pStyle w:val="Heading2"/>
      </w:pPr>
      <w:r>
        <w:rPr>
          <w:rFonts w:ascii="Arial" w:cs="Arial" w:eastAsia="Arial" w:hAnsi="Arial"/>
        </w:rPr>
        <w:t xml:space="preserve">5.1 Components of Batch Record Package</w:t>
      </w:r>
    </w:p>
    <w:p>
      <w:pPr>
        <w:spacing w:after="120"/>
      </w:pPr>
      <w:r>
        <w:rPr>
          <w:rFonts w:ascii="Arial" w:cs="Arial" w:eastAsia="Arial" w:hAnsi="Arial"/>
          <w:sz w:val="22"/>
          <w:szCs w:val="22"/>
        </w:rPr>
        <w:t xml:space="preserve">The complete batch record package for review shall include:</w:t>
      </w:r>
    </w:p>
    <w:p>
      <w:pPr>
        <w:pStyle w:val="ListParagraph"/>
        <w:numPr>
          <w:ilvl w:val="0"/>
          <w:numId w:val="2"/>
        </w:numPr>
      </w:pPr>
      <w:r>
        <w:rPr>
          <w:rFonts w:ascii="Arial" w:cs="Arial" w:eastAsia="Arial" w:hAnsi="Arial"/>
          <w:sz w:val="22"/>
          <w:szCs w:val="22"/>
        </w:rPr>
        <w:t xml:space="preserve">Manufacturing Batch Record (MBR) — all manufacturing steps, CPP data, operator sign-offs</w:t>
      </w:r>
    </w:p>
    <w:p>
      <w:pPr>
        <w:pStyle w:val="ListParagraph"/>
        <w:numPr>
          <w:ilvl w:val="0"/>
          <w:numId w:val="2"/>
        </w:numPr>
      </w:pPr>
      <w:r>
        <w:rPr>
          <w:rFonts w:ascii="Arial" w:cs="Arial" w:eastAsia="Arial" w:hAnsi="Arial"/>
          <w:sz w:val="22"/>
          <w:szCs w:val="22"/>
        </w:rPr>
        <w:t xml:space="preserve">Analytical Testing Records — CoA for all in-process and release tests</w:t>
      </w:r>
    </w:p>
    <w:p>
      <w:pPr>
        <w:pStyle w:val="ListParagraph"/>
        <w:numPr>
          <w:ilvl w:val="0"/>
          <w:numId w:val="2"/>
        </w:numPr>
      </w:pPr>
      <w:r>
        <w:rPr>
          <w:rFonts w:ascii="Arial" w:cs="Arial" w:eastAsia="Arial" w:hAnsi="Arial"/>
          <w:sz w:val="22"/>
          <w:szCs w:val="22"/>
        </w:rPr>
        <w:t xml:space="preserve">Equipment Logbooks — relevant entries for all equipment used</w:t>
      </w:r>
    </w:p>
    <w:p>
      <w:pPr>
        <w:pStyle w:val="ListParagraph"/>
        <w:numPr>
          <w:ilvl w:val="0"/>
          <w:numId w:val="2"/>
        </w:numPr>
      </w:pPr>
      <w:r>
        <w:rPr>
          <w:rFonts w:ascii="Arial" w:cs="Arial" w:eastAsia="Arial" w:hAnsi="Arial"/>
          <w:sz w:val="22"/>
          <w:szCs w:val="22"/>
        </w:rPr>
        <w:t xml:space="preserve">Environmental Monitoring Records — cleanroom monitoring data for the manufacturing period</w:t>
      </w:r>
    </w:p>
    <w:p>
      <w:pPr>
        <w:pStyle w:val="ListParagraph"/>
        <w:numPr>
          <w:ilvl w:val="0"/>
          <w:numId w:val="2"/>
        </w:numPr>
      </w:pPr>
      <w:r>
        <w:rPr>
          <w:rFonts w:ascii="Arial" w:cs="Arial" w:eastAsia="Arial" w:hAnsi="Arial"/>
          <w:sz w:val="22"/>
          <w:szCs w:val="22"/>
        </w:rPr>
        <w:t xml:space="preserve">Deviation Reports — all deviations raised during the batch, with closure documentation</w:t>
      </w:r>
    </w:p>
    <w:p>
      <w:pPr>
        <w:pStyle w:val="ListParagraph"/>
        <w:numPr>
          <w:ilvl w:val="0"/>
          <w:numId w:val="2"/>
        </w:numPr>
      </w:pPr>
      <w:r>
        <w:rPr>
          <w:rFonts w:ascii="Arial" w:cs="Arial" w:eastAsia="Arial" w:hAnsi="Arial"/>
          <w:sz w:val="22"/>
          <w:szCs w:val="22"/>
        </w:rPr>
        <w:t xml:space="preserve">Change Control Records — any applicable approved changes effective during manufacture</w:t>
      </w:r>
    </w:p>
    <w:p>
      <w:r>
        <w:t xml:space="preserve"/>
      </w:r>
    </w:p>
    <w:p>
      <w:pPr>
        <w:pStyle w:val="Heading2"/>
      </w:pPr>
      <w:r>
        <w:rPr>
          <w:rFonts w:ascii="Arial" w:cs="Arial" w:eastAsia="Arial" w:hAnsi="Arial"/>
        </w:rPr>
        <w:t xml:space="preserve">5.2 Review Timeline and Completion Criteria</w:t>
      </w:r>
    </w:p>
    <w:p>
      <w:pPr>
        <w:shd w:fill="FFCCCC" w:val="clear"/>
        <w:spacing w:after="120"/>
      </w:pPr>
      <w:r>
        <w:rPr>
          <w:rFonts w:ascii="Arial" w:cs="Arial" w:eastAsia="Arial" w:hAnsi="Arial"/>
          <w:b/>
          <w:bCs/>
          <w:color w:val="C00000"/>
          <w:sz w:val="22"/>
          <w:szCs w:val="22"/>
        </w:rPr>
        <w:t xml:space="preserve">[GAP - CRITICAL] </w:t>
      </w:r>
      <w:r>
        <w:rPr>
          <w:rFonts w:ascii="Arial" w:cs="Arial" w:eastAsia="Arial" w:hAnsi="Arial"/>
          <w:color w:val="C00000"/>
          <w:sz w:val="22"/>
          <w:szCs w:val="22"/>
        </w:rPr>
        <w:t xml:space="preserve">This section does not specify the required timeline for completion of batch record review following batch manufacture. 21 CFR 211.192 requires that production records be reviewed and approved by the quality control unit. Industry expectation and regulatory inspection precedent require that review begin within a defined period (typically within 30 days of batch completion) and that disposition be made prior to distribution. The absence of a defined review timeline and completion deadline constitutes a critical gap. Required additions: (1) Maximum calendar days from batch completion to QA review initiation; (2) Maximum days from review initiation to disposition decision; (3) Escalation procedure for batches approaching timeline breach.</w:t>
      </w:r>
    </w:p>
    <w:p>
      <w:r>
        <w:t xml:space="preserve"/>
      </w:r>
    </w:p>
    <w:p>
      <w:pPr>
        <w:spacing w:after="120"/>
      </w:pPr>
      <w:r>
        <w:rPr>
          <w:rFonts w:ascii="Arial" w:cs="Arial" w:eastAsia="Arial" w:hAnsi="Arial"/>
          <w:sz w:val="22"/>
          <w:szCs w:val="22"/>
        </w:rPr>
        <w:t xml:space="preserve">The QA Reviewer shall verify the following during batch record review:</w:t>
      </w:r>
    </w:p>
    <w:p>
      <w:pPr>
        <w:pStyle w:val="ListParagraph"/>
        <w:numPr>
          <w:ilvl w:val="0"/>
          <w:numId w:val="2"/>
        </w:numPr>
      </w:pPr>
      <w:r>
        <w:rPr>
          <w:rFonts w:ascii="Arial" w:cs="Arial" w:eastAsia="Arial" w:hAnsi="Arial"/>
          <w:sz w:val="22"/>
          <w:szCs w:val="22"/>
        </w:rPr>
        <w:t xml:space="preserve">All process steps completed in correct sequence per approved MBR</w:t>
      </w:r>
    </w:p>
    <w:p>
      <w:pPr>
        <w:pStyle w:val="ListParagraph"/>
        <w:numPr>
          <w:ilvl w:val="0"/>
          <w:numId w:val="2"/>
        </w:numPr>
      </w:pPr>
      <w:r>
        <w:rPr>
          <w:rFonts w:ascii="Arial" w:cs="Arial" w:eastAsia="Arial" w:hAnsi="Arial"/>
          <w:sz w:val="22"/>
          <w:szCs w:val="22"/>
        </w:rPr>
        <w:t xml:space="preserve">All critical process parameters within approved operating ranges</w:t>
      </w:r>
    </w:p>
    <w:p>
      <w:pPr>
        <w:pStyle w:val="ListParagraph"/>
        <w:numPr>
          <w:ilvl w:val="0"/>
          <w:numId w:val="2"/>
        </w:numPr>
      </w:pPr>
      <w:r>
        <w:rPr>
          <w:rFonts w:ascii="Arial" w:cs="Arial" w:eastAsia="Arial" w:hAnsi="Arial"/>
          <w:sz w:val="22"/>
          <w:szCs w:val="22"/>
        </w:rPr>
        <w:t xml:space="preserve">All analytical results meet release specifications</w:t>
      </w:r>
    </w:p>
    <w:p>
      <w:pPr>
        <w:pStyle w:val="ListParagraph"/>
        <w:numPr>
          <w:ilvl w:val="0"/>
          <w:numId w:val="2"/>
        </w:numPr>
      </w:pPr>
      <w:r>
        <w:rPr>
          <w:rFonts w:ascii="Arial" w:cs="Arial" w:eastAsia="Arial" w:hAnsi="Arial"/>
          <w:sz w:val="22"/>
          <w:szCs w:val="22"/>
        </w:rPr>
        <w:t xml:space="preserve">All deviations properly documented and closed</w:t>
      </w:r>
    </w:p>
    <w:p>
      <w:pPr>
        <w:pStyle w:val="ListParagraph"/>
        <w:numPr>
          <w:ilvl w:val="0"/>
          <w:numId w:val="2"/>
        </w:numPr>
      </w:pPr>
      <w:r>
        <w:rPr>
          <w:rFonts w:ascii="Arial" w:cs="Arial" w:eastAsia="Arial" w:hAnsi="Arial"/>
          <w:sz w:val="22"/>
          <w:szCs w:val="22"/>
        </w:rPr>
        <w:t xml:space="preserve">All operator and supervisor sign-offs complete</w:t>
      </w:r>
    </w:p>
    <w:p>
      <w:r>
        <w:t xml:space="preserve"/>
      </w:r>
    </w:p>
    <w:p>
      <w:pPr>
        <w:pStyle w:val="Heading1"/>
      </w:pPr>
      <w:r>
        <w:rPr>
          <w:rFonts w:ascii="Arial" w:cs="Arial" w:eastAsia="Arial" w:hAnsi="Arial"/>
        </w:rPr>
        <w:t xml:space="preserve">6. Out-of-Specification (OOS) and Out-of-Trend (OOT) Handling</w:t>
      </w:r>
    </w:p>
    <w:p>
      <w:pPr>
        <w:pStyle w:val="Heading2"/>
      </w:pPr>
      <w:r>
        <w:rPr>
          <w:rFonts w:ascii="Arial" w:cs="Arial" w:eastAsia="Arial" w:hAnsi="Arial"/>
        </w:rPr>
        <w:t xml:space="preserve">6.1 OOS Result Management</w:t>
      </w:r>
    </w:p>
    <w:p>
      <w:pPr>
        <w:shd w:fill="FFF2CC" w:val="clear"/>
        <w:spacing w:after="120"/>
      </w:pPr>
      <w:r>
        <w:rPr>
          <w:rFonts w:ascii="Arial" w:cs="Arial" w:eastAsia="Arial" w:hAnsi="Arial"/>
          <w:b/>
          <w:bCs/>
          <w:color w:val="7F5500"/>
          <w:sz w:val="22"/>
          <w:szCs w:val="22"/>
        </w:rPr>
        <w:t xml:space="preserve">[GAP - MAJOR] </w:t>
      </w:r>
      <w:r>
        <w:rPr>
          <w:rFonts w:ascii="Arial" w:cs="Arial" w:eastAsia="Arial" w:hAnsi="Arial"/>
          <w:color w:val="7F5500"/>
          <w:sz w:val="22"/>
          <w:szCs w:val="22"/>
        </w:rPr>
        <w:t xml:space="preserve">This SOP does not define or reference a formal OOS investigation procedure. ICH Q10 §3.2 and 21 CFR 211.192 collectively require that any result outside specifications triggers a documented investigation including Phase I (laboratory investigation) and Phase II (manufacturing investigation) before a disposition decision is made. The current SOP states only that 'OOS results should be investigated' without defining the investigation workflow, responsibilities, timelines, or criteria for batch rejection. This is a major gap that would be cited during FDA inspection.</w:t>
      </w:r>
    </w:p>
    <w:p>
      <w:r>
        <w:t xml:space="preserve"/>
      </w:r>
    </w:p>
    <w:p>
      <w:pPr>
        <w:pStyle w:val="Heading2"/>
      </w:pPr>
      <w:r>
        <w:rPr>
          <w:rFonts w:ascii="Arial" w:cs="Arial" w:eastAsia="Arial" w:hAnsi="Arial"/>
        </w:rPr>
        <w:t xml:space="preserve">6.2 OOT Trend Monitoring</w:t>
      </w:r>
    </w:p>
    <w:p>
      <w:pPr>
        <w:spacing w:after="120"/>
      </w:pPr>
      <w:r>
        <w:rPr>
          <w:rFonts w:ascii="Arial" w:cs="Arial" w:eastAsia="Arial" w:hAnsi="Arial"/>
          <w:sz w:val="22"/>
          <w:szCs w:val="22"/>
        </w:rPr>
        <w:t xml:space="preserve">Analytical results that are within specification but show a deteriorating trend shall be flagged by the QC analyst in the batch record. The QA reviewer shall assess OOT results against the statistical process control (SPC) charts maintained in the Annual Product Review (APR) system.</w:t>
      </w:r>
    </w:p>
    <w:p>
      <w:r>
        <w:t xml:space="preserve"/>
      </w:r>
    </w:p>
    <w:p>
      <w:pPr>
        <w:pStyle w:val="Heading1"/>
      </w:pPr>
      <w:r>
        <w:rPr>
          <w:rFonts w:ascii="Arial" w:cs="Arial" w:eastAsia="Arial" w:hAnsi="Arial"/>
        </w:rPr>
        <w:t xml:space="preserve">7. Batch Disposition</w:t>
      </w:r>
    </w:p>
    <w:p>
      <w:pPr>
        <w:pStyle w:val="Heading2"/>
      </w:pPr>
      <w:r>
        <w:rPr>
          <w:rFonts w:ascii="Arial" w:cs="Arial" w:eastAsia="Arial" w:hAnsi="Arial"/>
        </w:rPr>
        <w:t xml:space="preserve">7.1 Release Decision</w:t>
      </w:r>
    </w:p>
    <w:p>
      <w:pPr>
        <w:spacing w:after="120"/>
      </w:pPr>
      <w:r>
        <w:rPr>
          <w:rFonts w:ascii="Arial" w:cs="Arial" w:eastAsia="Arial" w:hAnsi="Arial"/>
          <w:sz w:val="22"/>
          <w:szCs w:val="22"/>
        </w:rPr>
        <w:t xml:space="preserve">A batch may be released for distribution only when all of the following conditions are met:</w:t>
      </w:r>
    </w:p>
    <w:p>
      <w:pPr>
        <w:pStyle w:val="ListParagraph"/>
        <w:numPr>
          <w:ilvl w:val="0"/>
          <w:numId w:val="2"/>
        </w:numPr>
      </w:pPr>
      <w:r>
        <w:rPr>
          <w:rFonts w:ascii="Arial" w:cs="Arial" w:eastAsia="Arial" w:hAnsi="Arial"/>
          <w:sz w:val="22"/>
          <w:szCs w:val="22"/>
        </w:rPr>
        <w:t xml:space="preserve">All manufacturing steps completed per approved MBR with no unresolved deviations</w:t>
      </w:r>
    </w:p>
    <w:p>
      <w:pPr>
        <w:pStyle w:val="ListParagraph"/>
        <w:numPr>
          <w:ilvl w:val="0"/>
          <w:numId w:val="2"/>
        </w:numPr>
      </w:pPr>
      <w:r>
        <w:rPr>
          <w:rFonts w:ascii="Arial" w:cs="Arial" w:eastAsia="Arial" w:hAnsi="Arial"/>
          <w:sz w:val="22"/>
          <w:szCs w:val="22"/>
        </w:rPr>
        <w:t xml:space="preserve">All release analytical tests pass approved specifications</w:t>
      </w:r>
    </w:p>
    <w:p>
      <w:pPr>
        <w:pStyle w:val="ListParagraph"/>
        <w:numPr>
          <w:ilvl w:val="0"/>
          <w:numId w:val="2"/>
        </w:numPr>
      </w:pPr>
      <w:r>
        <w:rPr>
          <w:rFonts w:ascii="Arial" w:cs="Arial" w:eastAsia="Arial" w:hAnsi="Arial"/>
          <w:sz w:val="22"/>
          <w:szCs w:val="22"/>
        </w:rPr>
        <w:t xml:space="preserve">Batch record review completed and signed by authorised QA Signatory</w:t>
      </w:r>
    </w:p>
    <w:p>
      <w:pPr>
        <w:pStyle w:val="ListParagraph"/>
        <w:numPr>
          <w:ilvl w:val="0"/>
          <w:numId w:val="2"/>
        </w:numPr>
      </w:pPr>
      <w:r>
        <w:rPr>
          <w:rFonts w:ascii="Arial" w:cs="Arial" w:eastAsia="Arial" w:hAnsi="Arial"/>
          <w:sz w:val="22"/>
          <w:szCs w:val="22"/>
        </w:rPr>
        <w:t xml:space="preserve">Certificate of Analysis (CoA) generated and approved</w:t>
      </w:r>
    </w:p>
    <w:p>
      <w:r>
        <w:t xml:space="preserve"/>
      </w:r>
    </w:p>
    <w:p>
      <w:pPr>
        <w:pStyle w:val="Heading2"/>
      </w:pPr>
      <w:r>
        <w:rPr>
          <w:rFonts w:ascii="Arial" w:cs="Arial" w:eastAsia="Arial" w:hAnsi="Arial"/>
        </w:rPr>
        <w:t xml:space="preserve">7.2 Rejection</w:t>
      </w:r>
    </w:p>
    <w:p>
      <w:pPr>
        <w:spacing w:after="120"/>
      </w:pPr>
      <w:r>
        <w:rPr>
          <w:rFonts w:ascii="Arial" w:cs="Arial" w:eastAsia="Arial" w:hAnsi="Arial"/>
          <w:sz w:val="22"/>
          <w:szCs w:val="22"/>
        </w:rPr>
        <w:t xml:space="preserve">A batch shall be rejected if any of the following conditions apply:</w:t>
      </w:r>
    </w:p>
    <w:p>
      <w:pPr>
        <w:pStyle w:val="ListParagraph"/>
        <w:numPr>
          <w:ilvl w:val="0"/>
          <w:numId w:val="2"/>
        </w:numPr>
      </w:pPr>
      <w:r>
        <w:rPr>
          <w:rFonts w:ascii="Arial" w:cs="Arial" w:eastAsia="Arial" w:hAnsi="Arial"/>
          <w:sz w:val="22"/>
          <w:szCs w:val="22"/>
        </w:rPr>
        <w:t xml:space="preserve">Any release analytical test result fails specification and OOS investigation confirms the failure is attributable to the batch</w:t>
      </w:r>
    </w:p>
    <w:p>
      <w:pPr>
        <w:pStyle w:val="ListParagraph"/>
        <w:numPr>
          <w:ilvl w:val="0"/>
          <w:numId w:val="2"/>
        </w:numPr>
      </w:pPr>
      <w:r>
        <w:rPr>
          <w:rFonts w:ascii="Arial" w:cs="Arial" w:eastAsia="Arial" w:hAnsi="Arial"/>
          <w:sz w:val="22"/>
          <w:szCs w:val="22"/>
        </w:rPr>
        <w:t xml:space="preserve">Critical deviation remains open or unresolved at time of disposition</w:t>
      </w:r>
    </w:p>
    <w:p>
      <w:pPr>
        <w:pStyle w:val="ListParagraph"/>
        <w:numPr>
          <w:ilvl w:val="0"/>
          <w:numId w:val="2"/>
        </w:numPr>
      </w:pPr>
      <w:r>
        <w:rPr>
          <w:rFonts w:ascii="Arial" w:cs="Arial" w:eastAsia="Arial" w:hAnsi="Arial"/>
          <w:sz w:val="22"/>
          <w:szCs w:val="22"/>
        </w:rPr>
        <w:t xml:space="preserve">Manufacturing record is incomplete or contains unresolved discrepancies</w:t>
      </w:r>
    </w:p>
    <w:p>
      <w:r>
        <w:t xml:space="preserve"/>
      </w:r>
    </w:p>
    <w:p>
      <w:pPr>
        <w:pStyle w:val="Heading1"/>
      </w:pPr>
      <w:r>
        <w:rPr>
          <w:rFonts w:ascii="Arial" w:cs="Arial" w:eastAsia="Arial" w:hAnsi="Arial"/>
        </w:rPr>
        <w:t xml:space="preserve">8. Record Retention</w:t>
      </w:r>
    </w:p>
    <w:p>
      <w:pPr>
        <w:spacing w:after="120"/>
      </w:pPr>
      <w:r>
        <w:rPr>
          <w:rFonts w:ascii="Arial" w:cs="Arial" w:eastAsia="Arial" w:hAnsi="Arial"/>
          <w:sz w:val="22"/>
          <w:szCs w:val="22"/>
        </w:rPr>
        <w:t xml:space="preserve">All batch records and associated documents shall be retained for a minimum of one year after the expiry date of the batch, or as required by applicable regulations, whichever is longer. Records shall be stored in the validated electronic document management system (Veeva Vault).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2026-04-11T09:26:38.754Z</dcterms:created>
  <dcterms:modified xsi:type="dcterms:W3CDTF">2026-04-11T09:26:38.754Z</dcterms:modified>
</cp:coreProperties>
</file>

<file path=docProps/custom.xml><?xml version="1.0" encoding="utf-8"?>
<Properties xmlns="http://schemas.openxmlformats.org/officeDocument/2006/custom-properties" xmlns:vt="http://schemas.openxmlformats.org/officeDocument/2006/docPropsVTypes"/>
</file>