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BIOCON BIOLOGICS LIMITED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Standard Operating Procedure — Immunogenicity Risk Assessment for Biosimilars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Number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BC-RA-IM-008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 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10-Feb-2025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Regulatory Affairs / Analytical Development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Scope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biosimilar products — mAb and non-mAb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 Venkataraman, Regulatory Affairs Scientist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N. Sharma, Head of Regulatory Affairs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Pre-Scripted Compliance Gap Summary</w:t>
      </w:r>
    </w:p>
    <w:p>
      <w:pPr>
        <w:shd w:fill="D5E8F0" w:val="clear"/>
        <w:spacing w:after="160"/>
      </w:pPr>
      <w:r>
        <w:rPr>
          <w:rFonts w:ascii="Arial" w:cs="Arial" w:eastAsia="Arial" w:hAnsi="Arial"/>
          <w:i/>
          <w:iCs/>
          <w:color w:val="0C3A6E"/>
          <w:sz w:val="20"/>
          <w:szCs w:val="20"/>
        </w:rPr>
        <w:t xml:space="preserve">NOTE: The following gaps are intentionally present for demo purposes and will be detected by the RAG gap engine.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760"/>
        <w:gridCol w:w="1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Clause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Reference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Section 5.1 — Immunogenicity Testing Plan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EMA CHMP/BMWP/14327/2006 + EMA CHMP/BMWP/86289/2010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 formal immunogenicity testing plan or assay strategy defined in the SOP for biosimilar approval dossier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5500"/>
                <w:sz w:val="20"/>
                <w:szCs w:val="20"/>
              </w:rPr>
              <w:t xml:space="preserve">Section 5.3 — ADA Assay Validation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5500"/>
                <w:sz w:val="20"/>
                <w:szCs w:val="20"/>
              </w:rPr>
              <w:t xml:space="preserve">EMA CHMP/BMWP/14327/2006 §4.2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5500"/>
                <w:sz w:val="20"/>
                <w:szCs w:val="20"/>
              </w:rPr>
              <w:t xml:space="preserve">ADA assay validation requirements not referenced; cut-point determination and drug tolerance not addressed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5500"/>
                <w:sz w:val="20"/>
                <w:szCs w:val="20"/>
              </w:rPr>
              <w:t xml:space="preserve">MAJOR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SOP describes the framework for conducting immunogenicity risk assessments for Biocon Biologics biosimilar products. Immunogenicity — the propensity of a therapeutic protein to elicit an immune response — is a critical safety and efficacy consideration for all biologics and must be systematically assessed throughout development and post-approval.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Regulatory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EMA/CHMP/BMWP/14327/2006 — Guideline on immunogenicity assessment of biotechnology-derived therapeutic proteins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EMA/CHMP/BMWP/86289/2010 — Immunogenicity assessment of monoclonal antibodies intended for in vivo clinical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FDA Guidance — Immunogenicity Assessment for Therapeutic Protein Products (2014)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 Q10 — Pharmaceutical Quality System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Risk Factors for Immunogenicity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product- and patient-related factors shall be considered during immunogenicity risk assessment:</w:t>
      </w:r>
    </w:p>
    <w:p>
      <w:pPr>
        <w:pStyle w:val="Heading2"/>
      </w:pPr>
      <w:r>
        <w:rPr>
          <w:rFonts w:ascii="Arial" w:cs="Arial" w:eastAsia="Arial" w:hAnsi="Arial"/>
        </w:rPr>
        <w:t xml:space="preserve">3.1 Product-Related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Molecular structure — degree of humanisation, glycosylation pattern, aggregation propensity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Formulation — excipients, pH, degradation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Manufacturing-related impurities — host cell proteins (HCPs), residual DNA, leachables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Post-translational modifications — deamidation, oxidation, glycation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Patient-Related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Underlying disease and immune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Concomitant immunosuppressive medications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of administration (IV vs SC — SC generally higher immunogenicity risk)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Treatment duration and dosing frequency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Risk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molecular structure; SC administration; no prior immunogenicity data available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clinical immunogenicity program required; ADA testing at all clinical time points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class; IV administration; some prior data from reference product available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ADA testing; bridging data acceptable if scientifically justified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Well-characterised molecule; established clinical immunogenicity record; identical to reference product immunogenicity profile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Abbreviated testing with post-marketing surveillance plan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Immunogenicity Testing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5.1 Testing Plan and Assay Strategy</w:t>
      </w:r>
    </w:p>
    <w:p>
      <w:pPr>
        <w:shd w:fill="FFCC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[GAP - CRITICAL]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This SOP does not define a specific immunogenicity testing plan or assay strategy for biosimilar approval submissions. EMA/CHMP/BMWP/14327/2006 and EMA/CHMP/BMWP/86289/2010 require that the immunogenicity testing plan be prospectively defined, including: (1) The assay technology to be used for ADA detection (e.g., bridging ELISA, electrochemiluminescence); (2) The clinical sampling schedule and time points; (3) Confirmatory and characterisation assays (neutralising antibody assay); (4) Statistical powering of the immunogenicity sub-study. Without a testing plan, the immunogenicity section of the biosimilar dossier (CTD Module 5) will be considered incomplete by EMA reviewers.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Anti-Drug Antibody (ADA)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 testing shall be performed using a validated tiered testing approach: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1 — Screening assay: detect all ADA-positive samples above cut-point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2 — Confirmatory assay: confirm ADA-positive samples by drug competition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3 — Characterisation: titre determination and neutralising antibody (NAb) testing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ADA Assay Validation Requirements</w:t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7F5500"/>
          <w:sz w:val="22"/>
          <w:szCs w:val="22"/>
        </w:rPr>
        <w:t xml:space="preserve">[GAP - MAJOR] </w:t>
      </w:r>
      <w:r>
        <w:rPr>
          <w:rFonts w:ascii="Arial" w:cs="Arial" w:eastAsia="Arial" w:hAnsi="Arial"/>
          <w:color w:val="7F5500"/>
          <w:sz w:val="22"/>
          <w:szCs w:val="22"/>
        </w:rPr>
        <w:t xml:space="preserve">The SOP references ADA assay tiering but does not specify or reference the assay validation requirements. EMA/CHMP/BMWP/14327/2006 §4.2 requires that ADA assays be validated with respect to: sensitivity, specificity, precision, accuracy, selectivity, drug tolerance, and stability of samples. Critically, the cut-point determination method (statistical approach for setting the assay positivity threshold using a representative patient population) is not defined. This gap will result in regulatory questions during biosimilar clinical dossier review and may require additional validation studies.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Comparative Immunogenicity — Biosimilar vs Reference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biosimilar approval, the incidence and titre of ADAs for the biosimilar must be compared to the reference product in a head-to-head clinical study. The comparability acceptance criteria shall be defined in the clinical study protocol and shall be based on the following: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 estimate of ADA incidence ratio (biosimilar/reference) with 90% confidence interval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Pre-specified equivalence margins justified by clinical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Neutralising antibody incidence assessed separately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Post-Marketing Immunogenicity Surveillance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approval, a Risk Management Plan (RMP) shall include a pharmacovigilance plan addressing immunogenicity. Post-marketing data shall be reviewed as part of the Annual Safety Report and compared against the clinical trial immunogenicity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2026-04-11T09:26:38.759Z</dcterms:created>
  <dcterms:modified xsi:type="dcterms:W3CDTF">2026-04-11T09:26:38.759Z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