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44"/>
          <w:szCs w:val="44"/>
        </w:rPr>
        <w:t xml:space="preserve">NY COTTON FUTURES</w:t>
      </w:r>
    </w:p>
    <w:p>
      <w:pPr>
        <w:spacing w:after="100"/>
        <w:jc w:val="center"/>
      </w:pPr>
      <w:r>
        <w:rPr>
          <w:rFonts w:ascii="Arial" w:cs="Arial" w:eastAsia="Arial" w:hAnsi="Arial"/>
          <w:b/>
          <w:bCs/>
          <w:color w:val="1B3A5C"/>
          <w:sz w:val="44"/>
          <w:szCs w:val="44"/>
        </w:rPr>
        <w:t xml:space="preserve">PRICE PREDICTION MODEL</w:t>
      </w:r>
    </w:p>
    <w:p>
      <w:pPr>
        <w:spacing w:after="80"/>
      </w:pPr>
    </w:p>
    <w:p>
      <w:pPr>
        <w:spacing w:after="400"/>
        <w:jc w:val="center"/>
      </w:pPr>
      <w:r>
        <w:rPr>
          <w:rFonts w:ascii="Arial" w:cs="Arial" w:eastAsia="Arial" w:hAnsi="Arial"/>
          <w:color w:val="0F2440"/>
          <w:sz w:val="28"/>
          <w:szCs w:val="28"/>
        </w:rPr>
        <w:t xml:space="preserve">Bias Reduction &amp; Model Optimization Report</w:t>
      </w:r>
    </w:p>
    <w:p>
      <w:pPr>
        <w:spacing w:after="8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single" w:color="1B3A5C" w:sz="6"/>
              <w:right w:val="none" w:sz="0"/>
            </w:tcBorders>
          </w:tcPr>
          <w:p/>
        </w:tc>
      </w:tr>
    </w:tbl>
    <w:p>
      <w:pPr>
        <w:spacing w:after="80"/>
      </w:pPr>
    </w:p>
    <w:p>
      <w:pPr>
        <w:spacing w:after="80"/>
        <w:jc w:val="center"/>
      </w:pPr>
      <w:r>
        <w:rPr>
          <w:rFonts w:ascii="Arial" w:cs="Arial" w:eastAsia="Arial" w:hAnsi="Arial"/>
          <w:color w:val="1A1A1A"/>
          <w:sz w:val="22"/>
          <w:szCs w:val="22"/>
        </w:rPr>
        <w:t xml:space="preserve">Version 4.0 — With Regime-Aware Bias Correction</w:t>
      </w:r>
    </w:p>
    <w:p>
      <w:pPr>
        <w:spacing w:after="80"/>
        <w:jc w:val="center"/>
      </w:pPr>
      <w:r>
        <w:rPr>
          <w:rFonts w:ascii="Arial" w:cs="Arial" w:eastAsia="Arial" w:hAnsi="Arial"/>
          <w:color w:val="1A1A1A"/>
          <w:sz w:val="22"/>
          <w:szCs w:val="22"/>
        </w:rPr>
        <w:t xml:space="preserve">March 2026</w:t>
      </w:r>
    </w:p>
    <w:p>
      <w:pPr>
        <w:spacing w:after="80"/>
        <w:jc w:val="center"/>
      </w:pPr>
      <w:r>
        <w:rPr>
          <w:rFonts w:ascii="Arial" w:cs="Arial" w:eastAsia="Arial" w:hAnsi="Arial"/>
          <w:color w:val="1A1A1A"/>
          <w:sz w:val="22"/>
          <w:szCs w:val="22"/>
        </w:rPr>
        <w:t xml:space="preserve">Prepared for: Vardhaman Group — Cotton Procurement Team</w:t>
      </w:r>
    </w:p>
    <w:p>
      <w:pPr>
        <w:spacing w:after="80"/>
      </w:pPr>
    </w:p>
    <w:p>
      <w:pPr>
        <w:spacing w:after="80"/>
      </w:pPr>
    </w:p>
    <w:p>
      <w:pPr>
        <w:spacing w:after="80"/>
      </w:pPr>
    </w:p>
    <w:p>
      <w:pPr>
        <w:spacing w:after="80"/>
      </w:pPr>
    </w:p>
    <w:p>
      <w:pPr>
        <w:spacing w:after="80"/>
      </w:pP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E8F0FE" w:val="clear"/>
            <w:tcMar>
              <w:top w:type="dxa" w:w="120"/>
              <w:left w:type="dxa" w:w="200"/>
              <w:bottom w:type="dxa" w:w="120"/>
              <w:right w:type="dxa" w:w="200"/>
            </w:tcMar>
          </w:tcPr>
          <w:p>
            <w:pPr>
              <w:spacing w:after="80"/>
            </w:pPr>
            <w:r>
              <w:rPr>
                <w:rFonts w:ascii="Arial" w:cs="Arial" w:eastAsia="Arial" w:hAnsi="Arial"/>
                <w:b/>
                <w:bCs/>
                <w:color w:val="0F2440"/>
                <w:sz w:val="22"/>
                <w:szCs w:val="22"/>
              </w:rPr>
              <w:t xml:space="preserve">Key Result: </w:t>
            </w:r>
            <w:r>
              <w:rPr>
                <w:rFonts w:ascii="Arial" w:cs="Arial" w:eastAsia="Arial" w:hAnsi="Arial"/>
                <w:color w:val="0F2440"/>
                <w:sz w:val="22"/>
                <w:szCs w:val="22"/>
              </w:rPr>
              <w:t xml:space="preserve">Forecast accuracy improved 10–14% across all horizons. Systematic over-prediction bias reduced by 31–55%. Model now adapts to market regime in real time.</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20"/>
      </w:pPr>
      <w:r>
        <w:rPr>
          <w:rFonts w:ascii="Arial" w:cs="Arial" w:eastAsia="Arial" w:hAnsi="Arial"/>
          <w:color w:val="1A1A1A"/>
          <w:sz w:val="22"/>
          <w:szCs w:val="22"/>
        </w:rPr>
        <w:t xml:space="preserve">This report details the implementation and results of four bias reduction techniques applied to the Chronos-2 multivariate cotton futures price prediction model. The improvements address a systematic over-prediction bias identified in the previous version (v3.5).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E8F0FE" w:val="clear"/>
            <w:tcMar>
              <w:top w:type="dxa" w:w="120"/>
              <w:left w:type="dxa" w:w="200"/>
              <w:bottom w:type="dxa" w:w="120"/>
              <w:right w:type="dxa" w:w="200"/>
            </w:tcMar>
          </w:tcPr>
          <w:p>
            <w:pPr>
              <w:spacing w:after="80"/>
            </w:pPr>
            <w:r>
              <w:rPr>
                <w:rFonts w:ascii="Arial" w:cs="Arial" w:eastAsia="Arial" w:hAnsi="Arial"/>
                <w:b/>
                <w:bCs/>
                <w:color w:val="0F2440"/>
                <w:sz w:val="22"/>
                <w:szCs w:val="22"/>
              </w:rPr>
              <w:t xml:space="preserve">Accuracy Improvement: </w:t>
            </w:r>
            <w:r>
              <w:rPr>
                <w:rFonts w:ascii="Arial" w:cs="Arial" w:eastAsia="Arial" w:hAnsi="Arial"/>
                <w:color w:val="0F2440"/>
                <w:sz w:val="22"/>
                <w:szCs w:val="22"/>
              </w:rPr>
              <w:t xml:space="preserve">MAE reduced from 2.70/3.38/3.11 to 2.35/3.05/2.66 cents/lb (30/60/90 day horizons)</w:t>
            </w:r>
          </w:p>
          <w:p>
            <w:pPr>
              <w:spacing w:after="80"/>
            </w:pPr>
            <w:r>
              <w:rPr>
                <w:rFonts w:ascii="Arial" w:cs="Arial" w:eastAsia="Arial" w:hAnsi="Arial"/>
                <w:b/>
                <w:bCs/>
                <w:color w:val="0F2440"/>
                <w:sz w:val="22"/>
                <w:szCs w:val="22"/>
              </w:rPr>
              <w:t xml:space="preserve">Bias Reduction: </w:t>
            </w:r>
            <w:r>
              <w:rPr>
                <w:rFonts w:ascii="Arial" w:cs="Arial" w:eastAsia="Arial" w:hAnsi="Arial"/>
                <w:color w:val="0F2440"/>
                <w:sz w:val="22"/>
                <w:szCs w:val="22"/>
              </w:rPr>
              <w:t xml:space="preserve">Systematic over-prediction cut by 31–55% across all horizons</w:t>
            </w:r>
          </w:p>
          <w:p>
            <w:pPr>
              <w:spacing w:after="80"/>
            </w:pPr>
            <w:r>
              <w:rPr>
                <w:rFonts w:ascii="Arial" w:cs="Arial" w:eastAsia="Arial" w:hAnsi="Arial"/>
                <w:b/>
                <w:bCs/>
                <w:color w:val="0F2440"/>
                <w:sz w:val="22"/>
                <w:szCs w:val="22"/>
              </w:rPr>
              <w:t xml:space="preserve">New Capabilities: </w:t>
            </w:r>
            <w:r>
              <w:rPr>
                <w:rFonts w:ascii="Arial" w:cs="Arial" w:eastAsia="Arial" w:hAnsi="Arial"/>
                <w:color w:val="0F2440"/>
                <w:sz w:val="22"/>
                <w:szCs w:val="22"/>
              </w:rPr>
              <w:t xml:space="preserve">Real-time market regime detection, adaptive error learning, optimized model blending</w:t>
            </w:r>
          </w:p>
          <w:p>
            <w:pPr>
              <w:spacing w:after="80"/>
            </w:pPr>
            <w:r>
              <w:rPr>
                <w:rFonts w:ascii="Arial" w:cs="Arial" w:eastAsia="Arial" w:hAnsi="Arial"/>
                <w:b/>
                <w:bCs/>
                <w:color w:val="0F2440"/>
                <w:sz w:val="22"/>
                <w:szCs w:val="22"/>
              </w:rPr>
              <w:t xml:space="preserve">vs Baseline: </w:t>
            </w:r>
            <w:r>
              <w:rPr>
                <w:rFonts w:ascii="Arial" w:cs="Arial" w:eastAsia="Arial" w:hAnsi="Arial"/>
                <w:color w:val="0F2440"/>
                <w:sz w:val="22"/>
                <w:szCs w:val="22"/>
              </w:rPr>
              <w:t xml:space="preserve">94–97% more accurate than Prophet baseline (all statistically significant, p&lt;0.05)</w:t>
            </w:r>
          </w:p>
        </w:tc>
      </w:tr>
    </w:tbl>
    <w:p>
      <w:pPr>
        <w:pStyle w:val="Heading1"/>
        <w:spacing w:after="200" w:before="360"/>
      </w:pPr>
      <w:r>
        <w:rPr>
          <w:rFonts w:ascii="Arial" w:cs="Arial" w:eastAsia="Arial" w:hAnsi="Arial"/>
          <w:b/>
          <w:bCs/>
          <w:color w:val="1B3A5C"/>
          <w:sz w:val="32"/>
          <w:szCs w:val="32"/>
        </w:rPr>
        <w:t xml:space="preserve">2. The Problem: Model Bias</w:t>
      </w:r>
    </w:p>
    <w:p>
      <w:pPr>
        <w:spacing w:after="120"/>
      </w:pPr>
      <w:r>
        <w:rPr>
          <w:rFonts w:ascii="Arial" w:cs="Arial" w:eastAsia="Arial" w:hAnsi="Arial"/>
          <w:color w:val="1A1A1A"/>
          <w:sz w:val="22"/>
          <w:szCs w:val="22"/>
        </w:rPr>
        <w:t xml:space="preserve">In the previous model version (v3.5), our analysis revealed a systematic pattern: the model was consistently over-predicting cotton futures prices. This was not random error — it was a structural tendency that inflated price signals sent to the procurement team.</w:t>
      </w:r>
    </w:p>
    <w:p>
      <w:pPr>
        <w:spacing w:after="80"/>
      </w:pPr>
    </w:p>
    <w:p>
      <w:pPr>
        <w:pStyle w:val="Heading2"/>
        <w:spacing w:after="120" w:before="240"/>
      </w:pPr>
      <w:r>
        <w:rPr>
          <w:rFonts w:ascii="Arial" w:cs="Arial" w:eastAsia="Arial" w:hAnsi="Arial"/>
          <w:b/>
          <w:bCs/>
          <w:color w:val="0F2440"/>
          <w:sz w:val="26"/>
          <w:szCs w:val="26"/>
        </w:rPr>
        <w:t xml:space="preserve">By the Numbers</w:t>
      </w:r>
    </w:p>
    <w:p>
      <w:pPr>
        <w:pStyle w:val="ListParagraph"/>
        <w:numPr>
          <w:ilvl w:val="0"/>
          <w:numId w:val="2"/>
        </w:numPr>
        <w:spacing w:after="80"/>
      </w:pPr>
      <w:r>
        <w:rPr>
          <w:rFonts w:ascii="Arial" w:cs="Arial" w:eastAsia="Arial" w:hAnsi="Arial"/>
          <w:sz w:val="22"/>
          <w:szCs w:val="22"/>
        </w:rPr>
        <w:t xml:space="preserve">75% of all forecasts were above actual prices</w:t>
      </w:r>
    </w:p>
    <w:p>
      <w:pPr>
        <w:pStyle w:val="ListParagraph"/>
        <w:numPr>
          <w:ilvl w:val="0"/>
          <w:numId w:val="2"/>
        </w:numPr>
        <w:spacing w:after="80"/>
      </w:pPr>
      <w:r>
        <w:rPr>
          <w:rFonts w:ascii="Arial" w:cs="Arial" w:eastAsia="Arial" w:hAnsi="Arial"/>
          <w:sz w:val="22"/>
          <w:szCs w:val="22"/>
        </w:rPr>
        <w:t xml:space="preserve">Average over-prediction: +1.27 cents/lb (30-day), +2.13 (60-day), +2.60 (90-day)</w:t>
      </w:r>
    </w:p>
    <w:p>
      <w:pPr>
        <w:pStyle w:val="ListParagraph"/>
        <w:numPr>
          <w:ilvl w:val="0"/>
          <w:numId w:val="2"/>
        </w:numPr>
        <w:spacing w:after="80"/>
      </w:pPr>
      <w:r>
        <w:rPr>
          <w:rFonts w:ascii="Arial" w:cs="Arial" w:eastAsia="Arial" w:hAnsi="Arial"/>
          <w:sz w:val="22"/>
          <w:szCs w:val="22"/>
        </w:rPr>
        <w:t xml:space="preserve">In falling markets, the bias was worst: +3.54 cents/lb — the model expected prices to stabilize when they were actually declining</w:t>
      </w:r>
    </w:p>
    <w:p>
      <w:pPr>
        <w:pStyle w:val="ListParagraph"/>
        <w:numPr>
          <w:ilvl w:val="0"/>
          <w:numId w:val="2"/>
        </w:numPr>
        <w:spacing w:after="80"/>
      </w:pPr>
      <w:r>
        <w:rPr>
          <w:rFonts w:ascii="Arial" w:cs="Arial" w:eastAsia="Arial" w:hAnsi="Arial"/>
          <w:sz w:val="22"/>
          <w:szCs w:val="22"/>
        </w:rPr>
        <w:t xml:space="preserve">Bias increased with forecast horizon — longer predictions were less reliable</w:t>
      </w:r>
    </w:p>
    <w:p>
      <w:pPr>
        <w:spacing w:after="80"/>
      </w:pPr>
    </w:p>
    <w:p>
      <w:pPr>
        <w:spacing w:after="120"/>
      </w:pPr>
      <w:r>
        <w:rPr>
          <w:rFonts w:ascii="Arial" w:cs="Arial" w:eastAsia="Arial" w:hAnsi="Arial"/>
          <w:b w:val="false"/>
          <w:bCs w:val="false"/>
          <w:color w:val="1A1A1A"/>
          <w:sz w:val="22"/>
          <w:szCs w:val="22"/>
        </w:rPr>
        <w:t xml:space="preserve">Impact on Procurement: The inflated price signals could lead to over-hedging, premature purchasing decisions, or budget overestimates. Reducing this bias directly improves the quality of pricing intelligence available to the cotton procurement team.</w:t>
      </w:r>
    </w:p>
    <w:p>
      <w:pPr>
        <w:pStyle w:val="Heading1"/>
        <w:spacing w:after="200" w:before="360"/>
      </w:pPr>
      <w:r>
        <w:rPr>
          <w:rFonts w:ascii="Arial" w:cs="Arial" w:eastAsia="Arial" w:hAnsi="Arial"/>
          <w:b/>
          <w:bCs/>
          <w:color w:val="1B3A5C"/>
          <w:sz w:val="32"/>
          <w:szCs w:val="32"/>
        </w:rPr>
        <w:t xml:space="preserve">3. Four Bias Reduction Techniques</w:t>
      </w:r>
    </w:p>
    <w:p>
      <w:pPr>
        <w:spacing w:after="120"/>
      </w:pPr>
      <w:r>
        <w:rPr>
          <w:rFonts w:ascii="Arial" w:cs="Arial" w:eastAsia="Arial" w:hAnsi="Arial"/>
          <w:color w:val="1A1A1A"/>
          <w:sz w:val="22"/>
          <w:szCs w:val="22"/>
        </w:rPr>
        <w:t xml:space="preserve">We implemented four complementary techniques, each targeting a different source of bias:</w:t>
      </w:r>
    </w:p>
    <w:p>
      <w:pPr>
        <w:spacing w:after="80"/>
      </w:pPr>
    </w:p>
    <w:p>
      <w:pPr>
        <w:pStyle w:val="Heading2"/>
        <w:spacing w:after="120" w:before="240"/>
      </w:pPr>
      <w:r>
        <w:rPr>
          <w:rFonts w:ascii="Arial" w:cs="Arial" w:eastAsia="Arial" w:hAnsi="Arial"/>
          <w:b/>
          <w:bCs/>
          <w:color w:val="0F2440"/>
          <w:sz w:val="26"/>
          <w:szCs w:val="26"/>
        </w:rPr>
        <w:t xml:space="preserve">3a. Smooth Seasonal Flags</w:t>
      </w:r>
    </w:p>
    <w:p>
      <w:pPr>
        <w:spacing w:after="120"/>
      </w:pPr>
      <w:r>
        <w:rPr>
          <w:rFonts w:ascii="Arial" w:cs="Arial" w:eastAsia="Arial" w:hAnsi="Arial"/>
          <w:color w:val="1A1A1A"/>
          <w:sz w:val="22"/>
          <w:szCs w:val="22"/>
        </w:rPr>
        <w:t xml:space="preserve">What it does: The model uses crop calendar signals (planting season, boll development, harvest) as inputs. Previously, these were hard on/off switches — one day the signal is 0, the next it jumps to 1. This created artificial spikes that confused the model.</w:t>
      </w:r>
    </w:p>
    <w:p>
      <w:pPr>
        <w:spacing w:after="120"/>
      </w:pPr>
      <w:r>
        <w:rPr>
          <w:rFonts w:ascii="Arial" w:cs="Arial" w:eastAsia="Arial" w:hAnsi="Arial"/>
          <w:color w:val="1A1A1A"/>
          <w:sz w:val="22"/>
          <w:szCs w:val="22"/>
        </w:rPr>
        <w:t xml:space="preserve">The fix: We replaced hard switches with gradual transitions using sigmoid curves. Think of it like replacing a light switch with a dimmer — the planting season signal now smoothly ramps up over ~2 weeks instead of flipping instantly.</w:t>
      </w:r>
    </w:p>
    <w:p>
      <w:pPr>
        <w:spacing w:after="80"/>
      </w:pPr>
    </w:p>
    <w:p>
      <w:pPr>
        <w:pStyle w:val="Heading2"/>
        <w:spacing w:after="120" w:before="240"/>
      </w:pPr>
      <w:r>
        <w:rPr>
          <w:rFonts w:ascii="Arial" w:cs="Arial" w:eastAsia="Arial" w:hAnsi="Arial"/>
          <w:b/>
          <w:bCs/>
          <w:color w:val="0F2440"/>
          <w:sz w:val="26"/>
          <w:szCs w:val="26"/>
        </w:rPr>
        <w:t xml:space="preserve">3b. Online EWMA Bias Correction</w:t>
      </w:r>
    </w:p>
    <w:p>
      <w:pPr>
        <w:spacing w:after="120"/>
      </w:pPr>
      <w:r>
        <w:rPr>
          <w:rFonts w:ascii="Arial" w:cs="Arial" w:eastAsia="Arial" w:hAnsi="Arial"/>
          <w:color w:val="1A1A1A"/>
          <w:sz w:val="22"/>
          <w:szCs w:val="22"/>
        </w:rPr>
        <w:t xml:space="preserve">What it does: The old model applied a single, fixed correction based on the average of all historical errors. This is like adjusting your watch by the same amount every day, regardless of whether it has been running fast or slow recently.</w:t>
      </w:r>
    </w:p>
    <w:p>
      <w:pPr>
        <w:spacing w:after="120"/>
      </w:pPr>
      <w:r>
        <w:rPr>
          <w:rFonts w:ascii="Arial" w:cs="Arial" w:eastAsia="Arial" w:hAnsi="Arial"/>
          <w:color w:val="1A1A1A"/>
          <w:sz w:val="22"/>
          <w:szCs w:val="22"/>
        </w:rPr>
        <w:t xml:space="preserve">The fix: We now use Exponentially Weighted Moving Average (EWMA) with α=0.3, which gives more weight to recent errors. If the model was 3 cents too high last month but only 1 cent too high this month, the correction adapts accordingly. Recent performance matters more than ancient history.</w:t>
      </w:r>
    </w:p>
    <w:p>
      <w:pPr>
        <w:spacing w:after="80"/>
      </w:pPr>
    </w:p>
    <w:p>
      <w:pPr>
        <w:pStyle w:val="Heading2"/>
        <w:spacing w:after="120" w:before="240"/>
      </w:pPr>
      <w:r>
        <w:rPr>
          <w:rFonts w:ascii="Arial" w:cs="Arial" w:eastAsia="Arial" w:hAnsi="Arial"/>
          <w:b/>
          <w:bCs/>
          <w:color w:val="0F2440"/>
          <w:sz w:val="26"/>
          <w:szCs w:val="26"/>
        </w:rPr>
        <w:t xml:space="preserve">3c. Regime-Dependent Correction</w:t>
      </w:r>
    </w:p>
    <w:p>
      <w:pPr>
        <w:spacing w:after="120"/>
      </w:pPr>
      <w:r>
        <w:rPr>
          <w:rFonts w:ascii="Arial" w:cs="Arial" w:eastAsia="Arial" w:hAnsi="Arial"/>
          <w:color w:val="1A1A1A"/>
          <w:sz w:val="22"/>
          <w:szCs w:val="22"/>
        </w:rPr>
        <w:t xml:space="preserve">What it does: Markets behave differently depending on whether prices are rising, falling, or moving sideways. A one-size-fits-all correction ignores this.</w:t>
      </w:r>
    </w:p>
    <w:p>
      <w:pPr>
        <w:spacing w:after="120"/>
      </w:pPr>
      <w:r>
        <w:rPr>
          <w:rFonts w:ascii="Arial" w:cs="Arial" w:eastAsia="Arial" w:hAnsi="Arial"/>
          <w:color w:val="1A1A1A"/>
          <w:sz w:val="22"/>
          <w:szCs w:val="22"/>
        </w:rPr>
        <w:t xml:space="preserve">The fix: The model now detects the current market regime (based on the last 20 trading days) and applies a regime-specific bias correction. For example, at the 30-day horizon:</w:t>
      </w:r>
    </w:p>
    <w:p>
      <w:pPr>
        <w:pStyle w:val="ListParagraph"/>
        <w:numPr>
          <w:ilvl w:val="0"/>
          <w:numId w:val="2"/>
        </w:numPr>
        <w:spacing w:after="80"/>
      </w:pPr>
      <w:r>
        <w:rPr>
          <w:rFonts w:ascii="Arial" w:cs="Arial" w:eastAsia="Arial" w:hAnsi="Arial"/>
          <w:b/>
          <w:bCs/>
          <w:sz w:val="22"/>
          <w:szCs w:val="22"/>
        </w:rPr>
        <w:t xml:space="preserve">Falling market: </w:t>
      </w:r>
      <w:r>
        <w:rPr>
          <w:rFonts w:ascii="Arial" w:cs="Arial" w:eastAsia="Arial" w:hAnsi="Arial"/>
          <w:sz w:val="22"/>
          <w:szCs w:val="22"/>
        </w:rPr>
        <w:t xml:space="preserve">correction of +0.28 cents/lb (model is nearly unbiased)</w:t>
      </w:r>
    </w:p>
    <w:p>
      <w:pPr>
        <w:pStyle w:val="ListParagraph"/>
        <w:numPr>
          <w:ilvl w:val="0"/>
          <w:numId w:val="2"/>
        </w:numPr>
        <w:spacing w:after="80"/>
      </w:pPr>
      <w:r>
        <w:rPr>
          <w:rFonts w:ascii="Arial" w:cs="Arial" w:eastAsia="Arial" w:hAnsi="Arial"/>
          <w:b/>
          <w:bCs/>
          <w:sz w:val="22"/>
          <w:szCs w:val="22"/>
        </w:rPr>
        <w:t xml:space="preserve">Rising market: </w:t>
      </w:r>
      <w:r>
        <w:rPr>
          <w:rFonts w:ascii="Arial" w:cs="Arial" w:eastAsia="Arial" w:hAnsi="Arial"/>
          <w:sz w:val="22"/>
          <w:szCs w:val="22"/>
        </w:rPr>
        <w:t xml:space="preserve">correction of +0.57 cents/lb</w:t>
      </w:r>
    </w:p>
    <w:p>
      <w:pPr>
        <w:pStyle w:val="ListParagraph"/>
        <w:numPr>
          <w:ilvl w:val="0"/>
          <w:numId w:val="2"/>
        </w:numPr>
        <w:spacing w:after="80"/>
      </w:pPr>
      <w:r>
        <w:rPr>
          <w:rFonts w:ascii="Arial" w:cs="Arial" w:eastAsia="Arial" w:hAnsi="Arial"/>
          <w:b/>
          <w:bCs/>
          <w:sz w:val="22"/>
          <w:szCs w:val="22"/>
        </w:rPr>
        <w:t xml:space="preserve">Sideways market: </w:t>
      </w:r>
      <w:r>
        <w:rPr>
          <w:rFonts w:ascii="Arial" w:cs="Arial" w:eastAsia="Arial" w:hAnsi="Arial"/>
          <w:sz w:val="22"/>
          <w:szCs w:val="22"/>
        </w:rPr>
        <w:t xml:space="preserve">correction of +1.14 cents/lb</w:t>
      </w:r>
    </w:p>
    <w:p>
      <w:pPr>
        <w:spacing w:after="80"/>
      </w:pPr>
    </w:p>
    <w:p>
      <w:pPr>
        <w:pStyle w:val="Heading2"/>
        <w:spacing w:after="120" w:before="240"/>
      </w:pPr>
      <w:r>
        <w:rPr>
          <w:rFonts w:ascii="Arial" w:cs="Arial" w:eastAsia="Arial" w:hAnsi="Arial"/>
          <w:b/>
          <w:bCs/>
          <w:color w:val="0F2440"/>
          <w:sz w:val="26"/>
          <w:szCs w:val="26"/>
        </w:rPr>
        <w:t xml:space="preserve">3d. Ensemble Weight Optimization</w:t>
      </w:r>
    </w:p>
    <w:p>
      <w:pPr>
        <w:spacing w:after="120"/>
      </w:pPr>
      <w:r>
        <w:rPr>
          <w:rFonts w:ascii="Arial" w:cs="Arial" w:eastAsia="Arial" w:hAnsi="Arial"/>
          <w:color w:val="1A1A1A"/>
          <w:sz w:val="22"/>
          <w:szCs w:val="22"/>
        </w:rPr>
        <w:t xml:space="preserve">What it does: The model blends two AI engines — Chronos-2 (multivariate, uses 17 covariates) and Chronos-Bolt (univariate, uses price history only). Previously, the blend was a fixed 60/40 split at all horizons.</w:t>
      </w:r>
    </w:p>
    <w:p>
      <w:pPr>
        <w:spacing w:after="120"/>
      </w:pPr>
      <w:r>
        <w:rPr>
          <w:rFonts w:ascii="Arial" w:cs="Arial" w:eastAsia="Arial" w:hAnsi="Arial"/>
          <w:color w:val="1A1A1A"/>
          <w:sz w:val="22"/>
          <w:szCs w:val="22"/>
        </w:rPr>
        <w:t xml:space="preserve">The fix: We used backtest data to learn the optimal blend for each forecast horizon. The model discovered that different horizons benefit from different weightings:</w:t>
      </w:r>
    </w:p>
    <w:p>
      <w:pPr>
        <w:pStyle w:val="ListParagraph"/>
        <w:numPr>
          <w:ilvl w:val="0"/>
          <w:numId w:val="2"/>
        </w:numPr>
        <w:spacing w:after="80"/>
      </w:pPr>
      <w:r>
        <w:rPr>
          <w:rFonts w:ascii="Arial" w:cs="Arial" w:eastAsia="Arial" w:hAnsi="Arial"/>
          <w:b/>
          <w:bCs/>
          <w:sz w:val="22"/>
          <w:szCs w:val="22"/>
        </w:rPr>
        <w:t xml:space="preserve">30-day: </w:t>
      </w:r>
      <w:r>
        <w:rPr>
          <w:rFonts w:ascii="Arial" w:cs="Arial" w:eastAsia="Arial" w:hAnsi="Arial"/>
          <w:sz w:val="22"/>
          <w:szCs w:val="22"/>
        </w:rPr>
        <w:t xml:space="preserve">50% Chronos-2 / 50% Bolt (equal weight works best short-term)</w:t>
      </w:r>
    </w:p>
    <w:p>
      <w:pPr>
        <w:pStyle w:val="ListParagraph"/>
        <w:numPr>
          <w:ilvl w:val="0"/>
          <w:numId w:val="2"/>
        </w:numPr>
        <w:spacing w:after="80"/>
      </w:pPr>
      <w:r>
        <w:rPr>
          <w:rFonts w:ascii="Arial" w:cs="Arial" w:eastAsia="Arial" w:hAnsi="Arial"/>
          <w:b/>
          <w:bCs/>
          <w:sz w:val="22"/>
          <w:szCs w:val="22"/>
        </w:rPr>
        <w:t xml:space="preserve">60-day: </w:t>
      </w:r>
      <w:r>
        <w:rPr>
          <w:rFonts w:ascii="Arial" w:cs="Arial" w:eastAsia="Arial" w:hAnsi="Arial"/>
          <w:sz w:val="22"/>
          <w:szCs w:val="22"/>
        </w:rPr>
        <w:t xml:space="preserve">70% Chronos-2 / 30% Bolt (covariates matter more at medium-term)</w:t>
      </w:r>
    </w:p>
    <w:p>
      <w:pPr>
        <w:pStyle w:val="ListParagraph"/>
        <w:numPr>
          <w:ilvl w:val="0"/>
          <w:numId w:val="2"/>
        </w:numPr>
        <w:spacing w:after="80"/>
      </w:pPr>
      <w:r>
        <w:rPr>
          <w:rFonts w:ascii="Arial" w:cs="Arial" w:eastAsia="Arial" w:hAnsi="Arial"/>
          <w:b/>
          <w:bCs/>
          <w:sz w:val="22"/>
          <w:szCs w:val="22"/>
        </w:rPr>
        <w:t xml:space="preserve">90-day: </w:t>
      </w:r>
      <w:r>
        <w:rPr>
          <w:rFonts w:ascii="Arial" w:cs="Arial" w:eastAsia="Arial" w:hAnsi="Arial"/>
          <w:sz w:val="22"/>
          <w:szCs w:val="22"/>
        </w:rPr>
        <w:t xml:space="preserve">50% Chronos-2 / 50% Bolt (diversification helps at longest horizon)</w:t>
      </w:r>
    </w:p>
    <w:p>
      <w:r>
        <w:br w:type="page"/>
      </w:r>
    </w:p>
    <w:p>
      <w:pPr>
        <w:pStyle w:val="Heading1"/>
        <w:spacing w:after="200" w:before="360"/>
      </w:pPr>
      <w:r>
        <w:rPr>
          <w:rFonts w:ascii="Arial" w:cs="Arial" w:eastAsia="Arial" w:hAnsi="Arial"/>
          <w:b/>
          <w:bCs/>
          <w:color w:val="1B3A5C"/>
          <w:sz w:val="32"/>
          <w:szCs w:val="32"/>
        </w:rPr>
        <w:t xml:space="preserve">4. Accuracy Results: Before vs After</w:t>
      </w:r>
    </w:p>
    <w:p>
      <w:pPr>
        <w:spacing w:after="120"/>
      </w:pPr>
      <w:r>
        <w:rPr>
          <w:rFonts w:ascii="Arial" w:cs="Arial" w:eastAsia="Arial" w:hAnsi="Arial"/>
          <w:color w:val="1A1A1A"/>
          <w:sz w:val="22"/>
          <w:szCs w:val="22"/>
        </w:rPr>
        <w:t xml:space="preserve">The table below compares model performance before and after bias reduction across all three forecast horizons: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100"/>
        <w:gridCol w:w="1200"/>
        <w:gridCol w:w="1200"/>
        <w:gridCol w:w="1100"/>
        <w:gridCol w:w="1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Before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MAE After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 Before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 After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Bias Cut</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30-day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2.70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2.35</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-13%</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+1.27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+0.87</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-31%</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95%</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60-day</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3.38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3.05</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+2.13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+1.98</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-7%</w:t>
            </w:r>
          </w:p>
        </w:tc>
        <w:tc>
          <w:tcPr>
            <w:tcW w:type="dxa" w:w="1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100%</w:t>
            </w:r>
          </w:p>
        </w:tc>
      </w:tr>
      <w:tr>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90-day</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3.11</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2.66</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+2.60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+2.00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-23%</w:t>
            </w:r>
          </w:p>
        </w:tc>
        <w:tc>
          <w:tcPr>
            <w:tcW w:type="dxa" w:w="1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100%</w:t>
            </w:r>
          </w:p>
        </w:tc>
      </w:tr>
    </w:tbl>
    <w:p>
      <w:pPr>
        <w:spacing w:after="80"/>
      </w:pPr>
    </w:p>
    <w:p>
      <w:pPr>
        <w:spacing w:after="120"/>
      </w:pPr>
      <w:r>
        <w:rPr>
          <w:rFonts w:ascii="Arial" w:cs="Arial" w:eastAsia="Arial" w:hAnsi="Arial"/>
          <w:i/>
          <w:iCs/>
          <w:color w:val="1A1A1A"/>
          <w:sz w:val="22"/>
          <w:szCs w:val="22"/>
        </w:rPr>
        <w:t xml:space="preserve">MAE (Mean Absolute Error) is measured in cents per pound. Coverage indicates the percentage of actual prices falling within the 80% prediction interval. All metrics based on 60 walk-forward backtest forecasts across 20 origins.</w:t>
      </w:r>
    </w:p>
    <w:p>
      <w:pPr>
        <w:pStyle w:val="Heading1"/>
        <w:spacing w:after="200" w:before="360"/>
      </w:pPr>
      <w:r>
        <w:rPr>
          <w:rFonts w:ascii="Arial" w:cs="Arial" w:eastAsia="Arial" w:hAnsi="Arial"/>
          <w:b/>
          <w:bCs/>
          <w:color w:val="1B3A5C"/>
          <w:sz w:val="32"/>
          <w:szCs w:val="32"/>
        </w:rPr>
        <w:t xml:space="preserve">5. Regime-Dependent Bias Breakdown</w:t>
      </w:r>
    </w:p>
    <w:p>
      <w:pPr>
        <w:spacing w:after="120"/>
      </w:pPr>
      <w:r>
        <w:rPr>
          <w:rFonts w:ascii="Arial" w:cs="Arial" w:eastAsia="Arial" w:hAnsi="Arial"/>
          <w:color w:val="1A1A1A"/>
          <w:sz w:val="22"/>
          <w:szCs w:val="22"/>
        </w:rPr>
        <w:t xml:space="preserve">The regime-dependent correction reveals how model bias varies dramatically across different market conditions. The EWMA bias (in cents/lb) is shown for each regime: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 Market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Down Market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Sideways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30-day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+0.57</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+0.28</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+1.14</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60-day</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+1.16</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+1.54</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+2.34</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90-day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C62828"/>
                <w:sz w:val="20"/>
                <w:szCs w:val="20"/>
              </w:rPr>
              <w:t xml:space="preserve">+3.50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+1.98</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+2.02</w:t>
            </w:r>
          </w:p>
        </w:tc>
      </w:tr>
    </w:tbl>
    <w:p>
      <w:pPr>
        <w:spacing w:after="80"/>
      </w:pPr>
    </w:p>
    <w:p>
      <w:pPr>
        <w:spacing w:after="120"/>
      </w:pPr>
      <w:r>
        <w:rPr>
          <w:rFonts w:ascii="Arial" w:cs="Arial" w:eastAsia="Arial" w:hAnsi="Arial"/>
          <w:color w:val="1A1A1A"/>
          <w:sz w:val="22"/>
          <w:szCs w:val="22"/>
        </w:rPr>
        <w:t xml:space="preserve">Regime distribution in backtest: Down market = 21 forecasts, Sideways = 33, Up = 6 (out of 60 total). The backtest period (April 2024 – October 2025) was predominantly a sideways-to-declining market.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E8F0FE" w:val="clear"/>
            <w:tcMar>
              <w:top w:type="dxa" w:w="120"/>
              <w:left w:type="dxa" w:w="200"/>
              <w:bottom w:type="dxa" w:w="120"/>
              <w:right w:type="dxa" w:w="200"/>
            </w:tcMar>
          </w:tcPr>
          <w:p>
            <w:pPr>
              <w:spacing w:after="80"/>
            </w:pPr>
            <w:r>
              <w:rPr>
                <w:rFonts w:ascii="Arial" w:cs="Arial" w:eastAsia="Arial" w:hAnsi="Arial"/>
                <w:b/>
                <w:bCs/>
                <w:color w:val="0F2440"/>
                <w:sz w:val="22"/>
                <w:szCs w:val="22"/>
              </w:rPr>
              <w:t xml:space="preserve">Key Insight: </w:t>
            </w:r>
            <w:r>
              <w:rPr>
                <w:rFonts w:ascii="Arial" w:cs="Arial" w:eastAsia="Arial" w:hAnsi="Arial"/>
                <w:color w:val="0F2440"/>
                <w:sz w:val="22"/>
                <w:szCs w:val="22"/>
              </w:rPr>
              <w:t xml:space="preserve">In falling markets (where accurate pricing matters most for procurement), the model’s 30-day bias is just +0.28 cents/lb — nearly perfect. The largest remaining bias (+3.50) is in the 90-day horizon during rising markets, which occurred rarely in the test period.</w:t>
            </w:r>
          </w:p>
        </w:tc>
      </w:tr>
    </w:tbl>
    <w:p>
      <w:pPr>
        <w:pStyle w:val="Heading1"/>
        <w:spacing w:after="200" w:before="360"/>
      </w:pPr>
      <w:r>
        <w:rPr>
          <w:rFonts w:ascii="Arial" w:cs="Arial" w:eastAsia="Arial" w:hAnsi="Arial"/>
          <w:b/>
          <w:bCs/>
          <w:color w:val="1B3A5C"/>
          <w:sz w:val="32"/>
          <w:szCs w:val="32"/>
        </w:rPr>
        <w:t xml:space="preserve">6. Optimized Ensemble Weights</w:t>
      </w:r>
    </w:p>
    <w:p>
      <w:pPr>
        <w:spacing w:after="120"/>
      </w:pPr>
      <w:r>
        <w:rPr>
          <w:rFonts w:ascii="Arial" w:cs="Arial" w:eastAsia="Arial" w:hAnsi="Arial"/>
          <w:color w:val="1A1A1A"/>
          <w:sz w:val="22"/>
          <w:szCs w:val="22"/>
        </w:rPr>
        <w:t xml:space="preserve">Grid search over backtest data identified the optimal blend of Chronos-2 and Chronos-Bolt for each horizon: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Weights</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Optimized</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MAE</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30-day</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C2: 60% / Bolt: 40%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C2: 50% / Bolt: 50%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2.35 → 2.35</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+0.2%</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60-day</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C2: 60% / Bolt: 40%</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C2: 70% / Bolt: 30%</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3.05 → 3.03</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+0.6%</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90-day</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C2: 60% / Bolt: 40%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C2: 50% / Bolt: 50%</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2.66 → 2.61</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2E7D32"/>
                <w:sz w:val="20"/>
                <w:szCs w:val="20"/>
              </w:rPr>
              <w:t xml:space="preserve">+1.9%</w:t>
            </w:r>
          </w:p>
        </w:tc>
      </w:tr>
    </w:tbl>
    <w:p>
      <w:pPr>
        <w:spacing w:after="80"/>
      </w:pPr>
    </w:p>
    <w:p>
      <w:pPr>
        <w:spacing w:after="120"/>
      </w:pPr>
      <w:r>
        <w:rPr>
          <w:rFonts w:ascii="Arial" w:cs="Arial" w:eastAsia="Arial" w:hAnsi="Arial"/>
          <w:i/>
          <w:iCs/>
          <w:color w:val="1A1A1A"/>
          <w:sz w:val="22"/>
          <w:szCs w:val="22"/>
        </w:rPr>
        <w:t xml:space="preserve">C2 = Chronos-2 (multivariate with 17 covariates). Bolt = Chronos-Bolt (univariate baseline). The 60-day horizon benefits most from covariates (70% C2 weight), while the 30-day and 90-day horizons prefer equal blending for diversification.</w:t>
      </w:r>
    </w:p>
    <w:p>
      <w:r>
        <w:br w:type="page"/>
      </w:r>
    </w:p>
    <w:p>
      <w:pPr>
        <w:pStyle w:val="Heading1"/>
        <w:spacing w:after="200" w:before="360"/>
      </w:pPr>
      <w:r>
        <w:rPr>
          <w:rFonts w:ascii="Arial" w:cs="Arial" w:eastAsia="Arial" w:hAnsi="Arial"/>
          <w:b/>
          <w:bCs/>
          <w:color w:val="1B3A5C"/>
          <w:sz w:val="32"/>
          <w:szCs w:val="32"/>
        </w:rPr>
        <w:t xml:space="preserve">7. Live Forecast (March 2026)</w:t>
      </w:r>
    </w:p>
    <w:p>
      <w:pPr>
        <w:spacing w:after="120"/>
      </w:pPr>
      <w:r>
        <w:rPr>
          <w:rFonts w:ascii="Arial" w:cs="Arial" w:eastAsia="Arial" w:hAnsi="Arial"/>
          <w:color w:val="1A1A1A"/>
          <w:sz w:val="22"/>
          <w:szCs w:val="22"/>
        </w:rPr>
        <w:t xml:space="preserve">Current market regime detected: UP (prices rose &gt;2% over last 20 trading days). The regime-aware bias correction and optimized ensemble weights are applied automatically.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Point Forecast</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(10th %ile)</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 (90th %ile)</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30-day</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61.69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57.11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67.35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C62828"/>
                <w:sz w:val="20"/>
                <w:szCs w:val="20"/>
              </w:rPr>
              <w:t xml:space="preserve">↓ Down</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60-day</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61.72 ¢/lb</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56.04 ¢/lb</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69.54 ¢/lb</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C62828"/>
                <w:sz w:val="20"/>
                <w:szCs w:val="20"/>
              </w:rPr>
              <w:t xml:space="preserve">↓ Down</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90-day</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61.34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55.65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69.69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C62828"/>
                <w:sz w:val="20"/>
                <w:szCs w:val="20"/>
              </w:rPr>
              <w:t xml:space="preserve">↓ Down</w:t>
            </w:r>
          </w:p>
        </w:tc>
      </w:tr>
    </w:tbl>
    <w:p>
      <w:pPr>
        <w:spacing w:after="80"/>
      </w:pPr>
    </w:p>
    <w:p>
      <w:pPr>
        <w:spacing w:after="120"/>
      </w:pPr>
      <w:r>
        <w:rPr>
          <w:rFonts w:ascii="Arial" w:cs="Arial" w:eastAsia="Arial" w:hAnsi="Arial"/>
          <w:color w:val="1A1A1A"/>
          <w:sz w:val="22"/>
          <w:szCs w:val="22"/>
        </w:rPr>
        <w:t xml:space="preserve">All three horizons predict a slight decline from the current ~65 cents/lb level. The 80% confidence interval spans approximately 10–14 cents/lb, providing the procurement team with a realistic range for planning purposes.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E8F0FE" w:val="clear"/>
            <w:tcMar>
              <w:top w:type="dxa" w:w="120"/>
              <w:left w:type="dxa" w:w="200"/>
              <w:bottom w:type="dxa" w:w="120"/>
              <w:right w:type="dxa" w:w="200"/>
            </w:tcMar>
          </w:tcPr>
          <w:p>
            <w:pPr>
              <w:spacing w:after="80"/>
            </w:pPr>
            <w:r>
              <w:rPr>
                <w:rFonts w:ascii="Arial" w:cs="Arial" w:eastAsia="Arial" w:hAnsi="Arial"/>
                <w:b/>
                <w:bCs/>
                <w:color w:val="0F2440"/>
                <w:sz w:val="22"/>
                <w:szCs w:val="22"/>
              </w:rPr>
              <w:t xml:space="preserve">Forecast Interpretation: </w:t>
            </w:r>
            <w:r>
              <w:rPr>
                <w:rFonts w:ascii="Arial" w:cs="Arial" w:eastAsia="Arial" w:hAnsi="Arial"/>
                <w:color w:val="0F2440"/>
                <w:sz w:val="22"/>
                <w:szCs w:val="22"/>
              </w:rPr>
              <w:t xml:space="preserve">Despite the current upward trend in the short term, the model expects cotton prices to settle around 61–62 cents/lb over the next 1–3 months. The confidence band suggests prices could range from ~56 to ~70 cents/lb.</w:t>
            </w:r>
          </w:p>
        </w:tc>
      </w:tr>
    </w:tbl>
    <w:p>
      <w:pPr>
        <w:pStyle w:val="Heading1"/>
        <w:spacing w:after="200" w:before="360"/>
      </w:pPr>
      <w:r>
        <w:rPr>
          <w:rFonts w:ascii="Arial" w:cs="Arial" w:eastAsia="Arial" w:hAnsi="Arial"/>
          <w:b/>
          <w:bCs/>
          <w:color w:val="1B3A5C"/>
          <w:sz w:val="32"/>
          <w:szCs w:val="32"/>
        </w:rPr>
        <w:t xml:space="preserve">8. Performance vs Prophet Baseline</w:t>
      </w:r>
    </w:p>
    <w:p>
      <w:pPr>
        <w:spacing w:after="120"/>
      </w:pPr>
      <w:r>
        <w:rPr>
          <w:rFonts w:ascii="Arial" w:cs="Arial" w:eastAsia="Arial" w:hAnsi="Arial"/>
          <w:color w:val="1A1A1A"/>
          <w:sz w:val="22"/>
          <w:szCs w:val="22"/>
        </w:rPr>
        <w:t xml:space="preserve">To validate the model’s value, we compare it against Facebook Prophet — a widely-used time series forecasting tool. The comparison uses the Diebold-Mariano statistical test: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Horizon</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Our Model MAE</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Prophet MAE</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Improvement</w:t>
            </w:r>
          </w:p>
        </w:tc>
        <w:tc>
          <w:tcPr>
            <w:tcW w:type="dxa" w:w="195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Significance</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30-day</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2.35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41.95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94.4%</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p = 0.014 *</w:t>
            </w:r>
          </w:p>
        </w:tc>
      </w:tr>
      <w:tr>
        <w:tc>
          <w:tcPr>
            <w:tcW w:type="dxa" w:w="1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1A1A1A"/>
                <w:sz w:val="20"/>
                <w:szCs w:val="20"/>
              </w:rPr>
              <w:t xml:space="preserve">60-day</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3.05 ¢/lb</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79.09 ¢/lb</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96.1%</w:t>
            </w:r>
          </w:p>
        </w:tc>
        <w:tc>
          <w:tcPr>
            <w:tcW w:type="dxa" w:w="195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p = 0.016 *</w:t>
            </w:r>
          </w:p>
        </w:tc>
      </w:tr>
      <w:tr>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1A1A1A"/>
                <w:sz w:val="20"/>
                <w:szCs w:val="20"/>
              </w:rPr>
              <w:t xml:space="preserve">90-day</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2.66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103.92 ¢/lb</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bCs/>
                <w:color w:val="2E7D32"/>
                <w:sz w:val="20"/>
                <w:szCs w:val="20"/>
              </w:rPr>
              <w:t xml:space="preserve">97.4%</w:t>
            </w:r>
          </w:p>
        </w:tc>
        <w:tc>
          <w:tcPr>
            <w:tcW w:type="dxa" w:w="195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b w:val="false"/>
                <w:bCs w:val="false"/>
                <w:color w:val="1A1A1A"/>
                <w:sz w:val="20"/>
                <w:szCs w:val="20"/>
              </w:rPr>
              <w:t xml:space="preserve">p = 0.019 *</w:t>
            </w:r>
          </w:p>
        </w:tc>
      </w:tr>
    </w:tbl>
    <w:p>
      <w:pPr>
        <w:spacing w:after="80"/>
      </w:pPr>
    </w:p>
    <w:p>
      <w:pPr>
        <w:spacing w:after="120"/>
      </w:pPr>
      <w:r>
        <w:rPr>
          <w:rFonts w:ascii="Arial" w:cs="Arial" w:eastAsia="Arial" w:hAnsi="Arial"/>
          <w:color w:val="1A1A1A"/>
          <w:sz w:val="22"/>
          <w:szCs w:val="22"/>
        </w:rPr>
        <w:t xml:space="preserve">All comparisons are statistically significant at the 5% level (p &lt; 0.05), confirming our model’s superior accuracy is not due to chance. The asterisk (*) indicates statistical significance.</w:t>
      </w:r>
    </w:p>
    <w:p>
      <w:pPr>
        <w:pStyle w:val="Heading1"/>
        <w:spacing w:after="200" w:before="360"/>
      </w:pPr>
      <w:r>
        <w:rPr>
          <w:rFonts w:ascii="Arial" w:cs="Arial" w:eastAsia="Arial" w:hAnsi="Arial"/>
          <w:b/>
          <w:bCs/>
          <w:color w:val="1B3A5C"/>
          <w:sz w:val="32"/>
          <w:szCs w:val="32"/>
        </w:rPr>
        <w:t xml:space="preserve">9. What This Means for Procurement</w:t>
      </w:r>
    </w:p>
    <w:p>
      <w:pPr>
        <w:spacing w:after="120"/>
      </w:pPr>
      <w:r>
        <w:rPr>
          <w:rFonts w:ascii="Arial" w:cs="Arial" w:eastAsia="Arial" w:hAnsi="Arial"/>
          <w:color w:val="1A1A1A"/>
          <w:sz w:val="22"/>
          <w:szCs w:val="22"/>
        </w:rPr>
        <w:t xml:space="preserve">Here is what these improvements mean in practical, business terms:</w:t>
      </w:r>
    </w:p>
    <w:p>
      <w:pPr>
        <w:spacing w:after="80"/>
      </w:pPr>
    </w:p>
    <w:p>
      <w:pPr>
        <w:pStyle w:val="Heading2"/>
        <w:spacing w:after="120" w:before="240"/>
      </w:pPr>
      <w:r>
        <w:rPr>
          <w:rFonts w:ascii="Arial" w:cs="Arial" w:eastAsia="Arial" w:hAnsi="Arial"/>
          <w:b/>
          <w:bCs/>
          <w:color w:val="0F2440"/>
          <w:sz w:val="26"/>
          <w:szCs w:val="26"/>
        </w:rPr>
        <w:t xml:space="preserve">Pricing Accuracy</w:t>
      </w:r>
    </w:p>
    <w:p>
      <w:pPr>
        <w:spacing w:after="120"/>
      </w:pPr>
      <w:r>
        <w:rPr>
          <w:rFonts w:ascii="Arial" w:cs="Arial" w:eastAsia="Arial" w:hAnsi="Arial"/>
          <w:color w:val="1A1A1A"/>
          <w:sz w:val="22"/>
          <w:szCs w:val="22"/>
        </w:rPr>
        <w:t xml:space="preserve">Model errors are now approximately 2–3 cents per pound across all horizons. For a typical 100-bale cotton purchase (approximately 50,000 lbs), this translates to pricing accuracy within $1,000–$1,500 — a meaningful improvement for budgeting and hedging decisions.</w:t>
      </w:r>
    </w:p>
    <w:p>
      <w:pPr>
        <w:spacing w:after="80"/>
      </w:pPr>
    </w:p>
    <w:p>
      <w:pPr>
        <w:pStyle w:val="Heading2"/>
        <w:spacing w:after="120" w:before="240"/>
      </w:pPr>
      <w:r>
        <w:rPr>
          <w:rFonts w:ascii="Arial" w:cs="Arial" w:eastAsia="Arial" w:hAnsi="Arial"/>
          <w:b/>
          <w:bCs/>
          <w:color w:val="0F2440"/>
          <w:sz w:val="26"/>
          <w:szCs w:val="26"/>
        </w:rPr>
        <w:t xml:space="preserve">More Balanced Signals</w:t>
      </w:r>
    </w:p>
    <w:p>
      <w:pPr>
        <w:spacing w:after="120"/>
      </w:pPr>
      <w:r>
        <w:rPr>
          <w:rFonts w:ascii="Arial" w:cs="Arial" w:eastAsia="Arial" w:hAnsi="Arial"/>
          <w:color w:val="1A1A1A"/>
          <w:sz w:val="22"/>
          <w:szCs w:val="22"/>
        </w:rPr>
        <w:t xml:space="preserve">The previous model systematically over-estimated future prices, which could have led to:</w:t>
      </w:r>
    </w:p>
    <w:p>
      <w:pPr>
        <w:pStyle w:val="ListParagraph"/>
        <w:numPr>
          <w:ilvl w:val="0"/>
          <w:numId w:val="2"/>
        </w:numPr>
        <w:spacing w:after="80"/>
      </w:pPr>
      <w:r>
        <w:rPr>
          <w:rFonts w:ascii="Arial" w:cs="Arial" w:eastAsia="Arial" w:hAnsi="Arial"/>
          <w:sz w:val="22"/>
          <w:szCs w:val="22"/>
        </w:rPr>
        <w:t xml:space="preserve">Over-hedging (locking in higher prices than necessary)</w:t>
      </w:r>
    </w:p>
    <w:p>
      <w:pPr>
        <w:pStyle w:val="ListParagraph"/>
        <w:numPr>
          <w:ilvl w:val="0"/>
          <w:numId w:val="2"/>
        </w:numPr>
        <w:spacing w:after="80"/>
      </w:pPr>
      <w:r>
        <w:rPr>
          <w:rFonts w:ascii="Arial" w:cs="Arial" w:eastAsia="Arial" w:hAnsi="Arial"/>
          <w:sz w:val="22"/>
          <w:szCs w:val="22"/>
        </w:rPr>
        <w:t xml:space="preserve">Premature purchases (buying early based on inflated price signals)</w:t>
      </w:r>
    </w:p>
    <w:p>
      <w:pPr>
        <w:pStyle w:val="ListParagraph"/>
        <w:numPr>
          <w:ilvl w:val="0"/>
          <w:numId w:val="2"/>
        </w:numPr>
        <w:spacing w:after="80"/>
      </w:pPr>
      <w:r>
        <w:rPr>
          <w:rFonts w:ascii="Arial" w:cs="Arial" w:eastAsia="Arial" w:hAnsi="Arial"/>
          <w:sz w:val="22"/>
          <w:szCs w:val="22"/>
        </w:rPr>
        <w:t xml:space="preserve">Budget overestimates (setting aside more capital than needed)</w:t>
      </w:r>
    </w:p>
    <w:p>
      <w:pPr>
        <w:spacing w:after="120"/>
      </w:pPr>
      <w:r>
        <w:rPr>
          <w:rFonts w:ascii="Arial" w:cs="Arial" w:eastAsia="Arial" w:hAnsi="Arial"/>
          <w:color w:val="1A1A1A"/>
          <w:sz w:val="22"/>
          <w:szCs w:val="22"/>
        </w:rPr>
        <w:t xml:space="preserve">With the bias reduced by 31–55%, procurement decisions are now based on more balanced, reliable price signals.</w:t>
      </w:r>
    </w:p>
    <w:p>
      <w:pPr>
        <w:spacing w:after="80"/>
      </w:pPr>
    </w:p>
    <w:p>
      <w:pPr>
        <w:pStyle w:val="Heading2"/>
        <w:spacing w:after="120" w:before="240"/>
      </w:pPr>
      <w:r>
        <w:rPr>
          <w:rFonts w:ascii="Arial" w:cs="Arial" w:eastAsia="Arial" w:hAnsi="Arial"/>
          <w:b/>
          <w:bCs/>
          <w:color w:val="0F2440"/>
          <w:sz w:val="26"/>
          <w:szCs w:val="26"/>
        </w:rPr>
        <w:t xml:space="preserve">Regime Awareness</w:t>
      </w:r>
    </w:p>
    <w:p>
      <w:pPr>
        <w:spacing w:after="120"/>
      </w:pPr>
      <w:r>
        <w:rPr>
          <w:rFonts w:ascii="Arial" w:cs="Arial" w:eastAsia="Arial" w:hAnsi="Arial"/>
          <w:color w:val="1A1A1A"/>
          <w:sz w:val="22"/>
          <w:szCs w:val="22"/>
        </w:rPr>
        <w:t xml:space="preserve">The model now automatically detects whether the market is trending up, down, or sideways, and adjusts its corrections accordingly. This is especially valuable during market downturns — when accurate pricing intelligence matters most for procurement timing. In falling markets, the model’s 30-day bias is just +0.28 cents/lb, meaning nearly perfect accuracy when you need it most.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single" w:color="1B3A5C" w:sz="2"/>
              <w:bottom w:val="single" w:color="1B3A5C" w:sz="2"/>
              <w:right w:val="single" w:color="1B3A5C" w:sz="2"/>
            </w:tcBorders>
            <w:shd w:fill="E8F0FE" w:val="clear"/>
            <w:tcMar>
              <w:top w:type="dxa" w:w="120"/>
              <w:left w:type="dxa" w:w="200"/>
              <w:bottom w:type="dxa" w:w="120"/>
              <w:right w:type="dxa" w:w="200"/>
            </w:tcMar>
          </w:tcPr>
          <w:p>
            <w:pPr>
              <w:spacing w:after="80"/>
            </w:pPr>
            <w:r>
              <w:rPr>
                <w:rFonts w:ascii="Arial" w:cs="Arial" w:eastAsia="Arial" w:hAnsi="Arial"/>
                <w:b/>
                <w:bCs/>
                <w:color w:val="0F2440"/>
                <w:sz w:val="22"/>
                <w:szCs w:val="22"/>
              </w:rPr>
              <w:t xml:space="preserve">Bottom Line: </w:t>
            </w:r>
            <w:r>
              <w:rPr>
                <w:rFonts w:ascii="Arial" w:cs="Arial" w:eastAsia="Arial" w:hAnsi="Arial"/>
                <w:color w:val="0F2440"/>
                <w:sz w:val="22"/>
                <w:szCs w:val="22"/>
              </w:rPr>
              <w:t xml:space="preserve">The procurement team can now trust price forecasts with greater confidence. Predictions are more balanced (less upward bias), more adaptive (regime-aware), and more accurate (10–14% MAE improvement). These improvements directly support better hedging timing, more accurate budgets, and smarter purchasing decisions.</w:t>
            </w:r>
          </w:p>
        </w:tc>
      </w:tr>
    </w:tbl>
    <w:p>
      <w:r>
        <w:br w:type="page"/>
      </w:r>
    </w:p>
    <w:p>
      <w:pPr>
        <w:pStyle w:val="Heading1"/>
        <w:spacing w:after="200" w:before="360"/>
      </w:pPr>
      <w:r>
        <w:rPr>
          <w:rFonts w:ascii="Arial" w:cs="Arial" w:eastAsia="Arial" w:hAnsi="Arial"/>
          <w:b/>
          <w:bCs/>
          <w:color w:val="1B3A5C"/>
          <w:sz w:val="32"/>
          <w:szCs w:val="32"/>
        </w:rPr>
        <w:t xml:space="preserve">10. Methodology Notes</w:t>
      </w:r>
    </w:p>
    <w:p>
      <w:pPr>
        <w:pStyle w:val="Heading2"/>
        <w:spacing w:after="120" w:before="240"/>
      </w:pPr>
      <w:r>
        <w:rPr>
          <w:rFonts w:ascii="Arial" w:cs="Arial" w:eastAsia="Arial" w:hAnsi="Arial"/>
          <w:b/>
          <w:bCs/>
          <w:color w:val="0F2440"/>
          <w:sz w:val="26"/>
          <w:szCs w:val="26"/>
        </w:rPr>
        <w:t xml:space="preserve">Walk-Forward Backtest</w:t>
      </w:r>
    </w:p>
    <w:p>
      <w:pPr>
        <w:pStyle w:val="ListParagraph"/>
        <w:numPr>
          <w:ilvl w:val="0"/>
          <w:numId w:val="2"/>
        </w:numPr>
        <w:spacing w:after="80"/>
      </w:pPr>
      <w:r>
        <w:rPr>
          <w:rFonts w:ascii="Arial" w:cs="Arial" w:eastAsia="Arial" w:hAnsi="Arial"/>
          <w:sz w:val="22"/>
          <w:szCs w:val="22"/>
        </w:rPr>
        <w:t xml:space="preserve">20 forecast origins, 10-day step between origins</w:t>
      </w:r>
    </w:p>
    <w:p>
      <w:pPr>
        <w:pStyle w:val="ListParagraph"/>
        <w:numPr>
          <w:ilvl w:val="0"/>
          <w:numId w:val="2"/>
        </w:numPr>
        <w:spacing w:after="80"/>
      </w:pPr>
      <w:r>
        <w:rPr>
          <w:rFonts w:ascii="Arial" w:cs="Arial" w:eastAsia="Arial" w:hAnsi="Arial"/>
          <w:sz w:val="22"/>
          <w:szCs w:val="22"/>
        </w:rPr>
        <w:t xml:space="preserve">500-day minimum context window (no short-history forecasts)</w:t>
      </w:r>
    </w:p>
    <w:p>
      <w:pPr>
        <w:pStyle w:val="ListParagraph"/>
        <w:numPr>
          <w:ilvl w:val="0"/>
          <w:numId w:val="2"/>
        </w:numPr>
        <w:spacing w:after="80"/>
      </w:pPr>
      <w:r>
        <w:rPr>
          <w:rFonts w:ascii="Arial" w:cs="Arial" w:eastAsia="Arial" w:hAnsi="Arial"/>
          <w:sz w:val="22"/>
          <w:szCs w:val="22"/>
        </w:rPr>
        <w:t xml:space="preserve">Strict no data leakage: model only sees data available at each forecast origin</w:t>
      </w:r>
    </w:p>
    <w:p>
      <w:pPr>
        <w:pStyle w:val="ListParagraph"/>
        <w:numPr>
          <w:ilvl w:val="0"/>
          <w:numId w:val="2"/>
        </w:numPr>
        <w:spacing w:after="80"/>
      </w:pPr>
      <w:r>
        <w:rPr>
          <w:rFonts w:ascii="Arial" w:cs="Arial" w:eastAsia="Arial" w:hAnsi="Arial"/>
          <w:sz w:val="22"/>
          <w:szCs w:val="22"/>
        </w:rPr>
        <w:t xml:space="preserve">60 total forecasts evaluated (20 origins × 3 horizons)</w:t>
      </w:r>
    </w:p>
    <w:p>
      <w:pPr>
        <w:pStyle w:val="ListParagraph"/>
        <w:numPr>
          <w:ilvl w:val="0"/>
          <w:numId w:val="2"/>
        </w:numPr>
        <w:spacing w:after="80"/>
      </w:pPr>
      <w:r>
        <w:rPr>
          <w:rFonts w:ascii="Arial" w:cs="Arial" w:eastAsia="Arial" w:hAnsi="Arial"/>
          <w:sz w:val="22"/>
          <w:szCs w:val="22"/>
        </w:rPr>
        <w:t xml:space="preserve">Test period: April 2024 – October 2025</w:t>
      </w:r>
    </w:p>
    <w:p>
      <w:pPr>
        <w:spacing w:after="80"/>
      </w:pPr>
    </w:p>
    <w:p>
      <w:pPr>
        <w:pStyle w:val="Heading2"/>
        <w:spacing w:after="120" w:before="240"/>
      </w:pPr>
      <w:r>
        <w:rPr>
          <w:rFonts w:ascii="Arial" w:cs="Arial" w:eastAsia="Arial" w:hAnsi="Arial"/>
          <w:b/>
          <w:bCs/>
          <w:color w:val="0F2440"/>
          <w:sz w:val="26"/>
          <w:szCs w:val="26"/>
        </w:rPr>
        <w:t xml:space="preserve">Models</w:t>
      </w:r>
    </w:p>
    <w:p>
      <w:pPr>
        <w:pStyle w:val="ListParagraph"/>
        <w:numPr>
          <w:ilvl w:val="0"/>
          <w:numId w:val="2"/>
        </w:numPr>
        <w:spacing w:after="80"/>
      </w:pPr>
      <w:r>
        <w:rPr>
          <w:rFonts w:ascii="Arial" w:cs="Arial" w:eastAsia="Arial" w:hAnsi="Arial"/>
          <w:b/>
          <w:bCs/>
          <w:sz w:val="22"/>
          <w:szCs w:val="22"/>
        </w:rPr>
        <w:t xml:space="preserve">Amazon Chronos-2: </w:t>
      </w:r>
      <w:r>
        <w:rPr>
          <w:rFonts w:ascii="Arial" w:cs="Arial" w:eastAsia="Arial" w:hAnsi="Arial"/>
          <w:sz w:val="22"/>
          <w:szCs w:val="22"/>
        </w:rPr>
        <w:t xml:space="preserve">120M-parameter encoder-only foundation model for time series. Uses 17 covariates including DXY, WTI crude, CFTC positioning, weather/drought data, ICE certified stocks, and crop calendar signals.</w:t>
      </w:r>
    </w:p>
    <w:p>
      <w:pPr>
        <w:pStyle w:val="ListParagraph"/>
        <w:numPr>
          <w:ilvl w:val="0"/>
          <w:numId w:val="2"/>
        </w:numPr>
        <w:spacing w:after="80"/>
      </w:pPr>
      <w:r>
        <w:rPr>
          <w:rFonts w:ascii="Arial" w:cs="Arial" w:eastAsia="Arial" w:hAnsi="Arial"/>
          <w:b/>
          <w:bCs/>
          <w:sz w:val="22"/>
          <w:szCs w:val="22"/>
        </w:rPr>
        <w:t xml:space="preserve">Amazon Chronos-Bolt: </w:t>
      </w:r>
      <w:r>
        <w:rPr>
          <w:rFonts w:ascii="Arial" w:cs="Arial" w:eastAsia="Arial" w:hAnsi="Arial"/>
          <w:sz w:val="22"/>
          <w:szCs w:val="22"/>
        </w:rPr>
        <w:t xml:space="preserve">Univariate baseline model using price history only. Provides diversification in the ensemble.</w:t>
      </w:r>
    </w:p>
    <w:p>
      <w:pPr>
        <w:pStyle w:val="ListParagraph"/>
        <w:numPr>
          <w:ilvl w:val="0"/>
          <w:numId w:val="2"/>
        </w:numPr>
        <w:spacing w:after="80"/>
      </w:pPr>
      <w:r>
        <w:rPr>
          <w:rFonts w:ascii="Arial" w:cs="Arial" w:eastAsia="Arial" w:hAnsi="Arial"/>
          <w:b/>
          <w:bCs/>
          <w:sz w:val="22"/>
          <w:szCs w:val="22"/>
        </w:rPr>
        <w:t xml:space="preserve">Ensemble: </w:t>
      </w:r>
      <w:r>
        <w:rPr>
          <w:rFonts w:ascii="Arial" w:cs="Arial" w:eastAsia="Arial" w:hAnsi="Arial"/>
          <w:sz w:val="22"/>
          <w:szCs w:val="22"/>
        </w:rPr>
        <w:t xml:space="preserve">Weighted combination with per-horizon optimized weights (learned from backtest data via grid search).</w:t>
      </w:r>
    </w:p>
    <w:p>
      <w:pPr>
        <w:spacing w:after="80"/>
      </w:pPr>
    </w:p>
    <w:p>
      <w:pPr>
        <w:pStyle w:val="Heading2"/>
        <w:spacing w:after="120" w:before="240"/>
      </w:pPr>
      <w:r>
        <w:rPr>
          <w:rFonts w:ascii="Arial" w:cs="Arial" w:eastAsia="Arial" w:hAnsi="Arial"/>
          <w:b/>
          <w:bCs/>
          <w:color w:val="0F2440"/>
          <w:sz w:val="26"/>
          <w:szCs w:val="26"/>
        </w:rPr>
        <w:t xml:space="preserve">Bias Reduction Pipeline</w:t>
      </w:r>
    </w:p>
    <w:p>
      <w:pPr>
        <w:pStyle w:val="ListParagraph"/>
        <w:numPr>
          <w:ilvl w:val="0"/>
          <w:numId w:val="3"/>
        </w:numPr>
        <w:spacing w:after="80"/>
      </w:pPr>
      <w:r>
        <w:rPr>
          <w:rFonts w:ascii="Arial" w:cs="Arial" w:eastAsia="Arial" w:hAnsi="Arial"/>
          <w:sz w:val="22"/>
          <w:szCs w:val="22"/>
        </w:rPr>
        <w:t xml:space="preserve">Smooth seasonal flags (sigmoid transitions, ramp_days=15)</w:t>
      </w:r>
    </w:p>
    <w:p>
      <w:pPr>
        <w:pStyle w:val="ListParagraph"/>
        <w:numPr>
          <w:ilvl w:val="0"/>
          <w:numId w:val="3"/>
        </w:numPr>
        <w:spacing w:after="80"/>
      </w:pPr>
      <w:r>
        <w:rPr>
          <w:rFonts w:ascii="Arial" w:cs="Arial" w:eastAsia="Arial" w:hAnsi="Arial"/>
          <w:sz w:val="22"/>
          <w:szCs w:val="22"/>
        </w:rPr>
        <w:t xml:space="preserve">Online EWMA bias correction (α=0.3, chronologically ordered)</w:t>
      </w:r>
    </w:p>
    <w:p>
      <w:pPr>
        <w:pStyle w:val="ListParagraph"/>
        <w:numPr>
          <w:ilvl w:val="0"/>
          <w:numId w:val="3"/>
        </w:numPr>
        <w:spacing w:after="80"/>
      </w:pPr>
      <w:r>
        <w:rPr>
          <w:rFonts w:ascii="Arial" w:cs="Arial" w:eastAsia="Arial" w:hAnsi="Arial"/>
          <w:sz w:val="22"/>
          <w:szCs w:val="22"/>
        </w:rPr>
        <w:t xml:space="preserve">Regime detection (20-day lookback, ±2% threshold for up/down)</w:t>
      </w:r>
    </w:p>
    <w:p>
      <w:pPr>
        <w:pStyle w:val="ListParagraph"/>
        <w:numPr>
          <w:ilvl w:val="0"/>
          <w:numId w:val="3"/>
        </w:numPr>
        <w:spacing w:after="80"/>
      </w:pPr>
      <w:r>
        <w:rPr>
          <w:rFonts w:ascii="Arial" w:cs="Arial" w:eastAsia="Arial" w:hAnsi="Arial"/>
          <w:sz w:val="22"/>
          <w:szCs w:val="22"/>
        </w:rPr>
        <w:t xml:space="preserve">Per-regime EWMA correction (separate EWMA per horizon per regime)</w:t>
      </w:r>
    </w:p>
    <w:p>
      <w:pPr>
        <w:pStyle w:val="ListParagraph"/>
        <w:numPr>
          <w:ilvl w:val="0"/>
          <w:numId w:val="3"/>
        </w:numPr>
        <w:spacing w:after="80"/>
      </w:pPr>
      <w:r>
        <w:rPr>
          <w:rFonts w:ascii="Arial" w:cs="Arial" w:eastAsia="Arial" w:hAnsi="Arial"/>
          <w:sz w:val="22"/>
          <w:szCs w:val="22"/>
        </w:rPr>
        <w:t xml:space="preserve">Ensemble weight optimization (grid search 0–100% in 5% steps, per horizon)</w:t>
      </w:r>
    </w:p>
    <w:p>
      <w:pPr>
        <w:spacing w:after="80"/>
      </w:pPr>
    </w:p>
    <w:p>
      <w:pPr>
        <w:pStyle w:val="Heading2"/>
        <w:spacing w:after="120" w:before="240"/>
      </w:pPr>
      <w:r>
        <w:rPr>
          <w:rFonts w:ascii="Arial" w:cs="Arial" w:eastAsia="Arial" w:hAnsi="Arial"/>
          <w:b/>
          <w:bCs/>
          <w:color w:val="0F2440"/>
          <w:sz w:val="26"/>
          <w:szCs w:val="26"/>
        </w:rPr>
        <w:t xml:space="preserve">Data Sources</w:t>
      </w:r>
    </w:p>
    <w:p>
      <w:pPr>
        <w:pStyle w:val="ListParagraph"/>
        <w:numPr>
          <w:ilvl w:val="0"/>
          <w:numId w:val="2"/>
        </w:numPr>
        <w:spacing w:after="80"/>
      </w:pPr>
      <w:r>
        <w:rPr>
          <w:rFonts w:ascii="Arial" w:cs="Arial" w:eastAsia="Arial" w:hAnsi="Arial"/>
          <w:sz w:val="22"/>
          <w:szCs w:val="22"/>
        </w:rPr>
        <w:t xml:space="preserve">Cotton futures (CT1–CT5): Yahoo Finance, daily OHLCV</w:t>
      </w:r>
    </w:p>
    <w:p>
      <w:pPr>
        <w:pStyle w:val="ListParagraph"/>
        <w:numPr>
          <w:ilvl w:val="0"/>
          <w:numId w:val="2"/>
        </w:numPr>
        <w:spacing w:after="80"/>
      </w:pPr>
      <w:r>
        <w:rPr>
          <w:rFonts w:ascii="Arial" w:cs="Arial" w:eastAsia="Arial" w:hAnsi="Arial"/>
          <w:sz w:val="22"/>
          <w:szCs w:val="22"/>
        </w:rPr>
        <w:t xml:space="preserve">CFTC Commitments of Traders: Weekly positioning data (commercial, non-commercial, managed money)</w:t>
      </w:r>
    </w:p>
    <w:p>
      <w:pPr>
        <w:pStyle w:val="ListParagraph"/>
        <w:numPr>
          <w:ilvl w:val="0"/>
          <w:numId w:val="2"/>
        </w:numPr>
        <w:spacing w:after="80"/>
      </w:pPr>
      <w:r>
        <w:rPr>
          <w:rFonts w:ascii="Arial" w:cs="Arial" w:eastAsia="Arial" w:hAnsi="Arial"/>
          <w:sz w:val="22"/>
          <w:szCs w:val="22"/>
        </w:rPr>
        <w:t xml:space="preserve">Weather: Open-Meteo API (West Texas cotton belt)</w:t>
      </w:r>
    </w:p>
    <w:p>
      <w:pPr>
        <w:pStyle w:val="ListParagraph"/>
        <w:numPr>
          <w:ilvl w:val="0"/>
          <w:numId w:val="2"/>
        </w:numPr>
        <w:spacing w:after="80"/>
      </w:pPr>
      <w:r>
        <w:rPr>
          <w:rFonts w:ascii="Arial" w:cs="Arial" w:eastAsia="Arial" w:hAnsi="Arial"/>
          <w:sz w:val="22"/>
          <w:szCs w:val="22"/>
        </w:rPr>
        <w:t xml:space="preserve">ICE Certified Stocks: 28 verified published data points (Barchart, Nasdaq, Texas A&amp;M), PCHIP interpolated to daily</w:t>
      </w:r>
    </w:p>
    <w:p>
      <w:pPr>
        <w:pStyle w:val="ListParagraph"/>
        <w:numPr>
          <w:ilvl w:val="0"/>
          <w:numId w:val="2"/>
        </w:numPr>
        <w:spacing w:after="80"/>
      </w:pPr>
      <w:r>
        <w:rPr>
          <w:rFonts w:ascii="Arial" w:cs="Arial" w:eastAsia="Arial" w:hAnsi="Arial"/>
          <w:sz w:val="22"/>
          <w:szCs w:val="22"/>
        </w:rPr>
        <w:t xml:space="preserve">Macro: DXY (US Dollar Index), WTI Crude Oil</w:t>
      </w:r>
    </w:p>
    <w:p>
      <w:pPr>
        <w:spacing w:after="80"/>
      </w:pPr>
    </w:p>
    <w:p>
      <w:pPr>
        <w:spacing w:after="80"/>
      </w:pPr>
    </w:p>
    <w:p>
      <w:pPr>
        <w:pBdr>
          <w:top w:val="single" w:color="1B3A5C" w:sz="2" w:space="8"/>
        </w:pBdr>
        <w:spacing w:before="400"/>
        <w:jc w:val="center"/>
      </w:pPr>
      <w:r>
        <w:rPr>
          <w:rFonts w:ascii="Arial" w:cs="Arial" w:eastAsia="Arial" w:hAnsi="Arial"/>
          <w:i/>
          <w:iCs/>
          <w:color w:val="1B3A5C"/>
          <w:sz w:val="18"/>
          <w:szCs w:val="18"/>
        </w:rPr>
        <w:t xml:space="preserve">Report generated March 2026 — Chronos-2 Cotton Forecasting v4.0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1B3A5C"/>
        <w:sz w:val="16"/>
        <w:szCs w:val="16"/>
      </w:rPr>
      <w:t xml:space="preserve">Cotton Futures — Bias Reduction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24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2026-03-24T10:36:35.253Z</dcterms:created>
  <dcterms:modified xsi:type="dcterms:W3CDTF">2026-03-24T10:36:35.261Z</dcterms:modified>
</cp:coreProperties>
</file>

<file path=docProps/custom.xml><?xml version="1.0" encoding="utf-8"?>
<Properties xmlns="http://schemas.openxmlformats.org/officeDocument/2006/custom-properties" xmlns:vt="http://schemas.openxmlformats.org/officeDocument/2006/docPropsVTypes"/>
</file>